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EA" w:rsidRPr="002F0C3A" w:rsidRDefault="002F0C3A" w:rsidP="002F0C3A">
      <w:pPr>
        <w:jc w:val="center"/>
        <w:rPr>
          <w:b/>
          <w:sz w:val="40"/>
        </w:rPr>
      </w:pPr>
      <w:r w:rsidRPr="002F0C3A">
        <w:rPr>
          <w:noProof/>
          <w:sz w:val="28"/>
        </w:rPr>
        <w:drawing>
          <wp:anchor distT="152400" distB="152400" distL="152400" distR="152400" simplePos="0" relativeHeight="251659264" behindDoc="1" locked="0" layoutInCell="1" allowOverlap="1">
            <wp:simplePos x="0" y="0"/>
            <wp:positionH relativeFrom="margin">
              <wp:align>right</wp:align>
            </wp:positionH>
            <wp:positionV relativeFrom="margin">
              <wp:align>top</wp:align>
            </wp:positionV>
            <wp:extent cx="827405" cy="1008380"/>
            <wp:effectExtent l="0" t="0" r="0" b="1270"/>
            <wp:wrapNone/>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rady logo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C3A">
        <w:rPr>
          <w:noProof/>
          <w:sz w:val="28"/>
        </w:rPr>
        <w:drawing>
          <wp:anchor distT="152400" distB="152400" distL="152400" distR="152400" simplePos="0" relativeHeight="251658240" behindDoc="1" locked="0" layoutInCell="1" allowOverlap="1">
            <wp:simplePos x="0" y="0"/>
            <wp:positionH relativeFrom="margin">
              <wp:align>left</wp:align>
            </wp:positionH>
            <wp:positionV relativeFrom="margin">
              <wp:align>top</wp:align>
            </wp:positionV>
            <wp:extent cx="827405" cy="1008380"/>
            <wp:effectExtent l="0" t="0" r="0" b="1270"/>
            <wp:wrapNone/>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rady logo (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C3A">
        <w:rPr>
          <w:b/>
          <w:sz w:val="40"/>
        </w:rPr>
        <w:t>Catch-Up Premium Plan</w:t>
      </w:r>
    </w:p>
    <w:p w:rsidR="002F0C3A" w:rsidRDefault="002F0C3A" w:rsidP="002F0C3A">
      <w:pPr>
        <w:jc w:val="center"/>
        <w:rPr>
          <w:b/>
          <w:sz w:val="40"/>
        </w:rPr>
      </w:pPr>
      <w:r w:rsidRPr="002F0C3A">
        <w:rPr>
          <w:b/>
          <w:sz w:val="40"/>
        </w:rPr>
        <w:t>Brady Primary School</w:t>
      </w:r>
    </w:p>
    <w:p w:rsidR="002F0C3A" w:rsidRDefault="002F0C3A" w:rsidP="002F0C3A">
      <w:pPr>
        <w:jc w:val="center"/>
        <w:rPr>
          <w:b/>
          <w:sz w:val="40"/>
        </w:rPr>
      </w:pPr>
    </w:p>
    <w:tbl>
      <w:tblPr>
        <w:tblStyle w:val="TableGrid"/>
        <w:tblW w:w="0" w:type="auto"/>
        <w:tblLook w:val="04A0" w:firstRow="1" w:lastRow="0" w:firstColumn="1" w:lastColumn="0" w:noHBand="0" w:noVBand="1"/>
      </w:tblPr>
      <w:tblGrid>
        <w:gridCol w:w="2564"/>
        <w:gridCol w:w="2393"/>
        <w:gridCol w:w="2736"/>
        <w:gridCol w:w="2565"/>
        <w:gridCol w:w="3062"/>
        <w:gridCol w:w="2068"/>
      </w:tblGrid>
      <w:tr w:rsidR="002F0C3A" w:rsidTr="002F0C3A">
        <w:tc>
          <w:tcPr>
            <w:tcW w:w="15388" w:type="dxa"/>
            <w:gridSpan w:val="6"/>
            <w:shd w:val="clear" w:color="auto" w:fill="8EAADB" w:themeFill="accent1" w:themeFillTint="99"/>
          </w:tcPr>
          <w:p w:rsidR="002F0C3A" w:rsidRDefault="002F0C3A" w:rsidP="002F0C3A">
            <w:pPr>
              <w:jc w:val="center"/>
              <w:rPr>
                <w:b/>
                <w:sz w:val="40"/>
              </w:rPr>
            </w:pPr>
            <w:r w:rsidRPr="002F0C3A">
              <w:rPr>
                <w:b/>
                <w:sz w:val="32"/>
              </w:rPr>
              <w:t>Summary Information</w:t>
            </w:r>
          </w:p>
        </w:tc>
      </w:tr>
      <w:tr w:rsidR="002F0C3A" w:rsidTr="002F0C3A">
        <w:tc>
          <w:tcPr>
            <w:tcW w:w="4957" w:type="dxa"/>
            <w:gridSpan w:val="2"/>
          </w:tcPr>
          <w:p w:rsidR="002F0C3A" w:rsidRPr="002F0C3A" w:rsidRDefault="002F0C3A" w:rsidP="002F0C3A">
            <w:pPr>
              <w:rPr>
                <w:b/>
                <w:sz w:val="32"/>
              </w:rPr>
            </w:pPr>
            <w:r w:rsidRPr="002F0C3A">
              <w:rPr>
                <w:b/>
                <w:sz w:val="24"/>
              </w:rPr>
              <w:t>School</w:t>
            </w:r>
          </w:p>
        </w:tc>
        <w:tc>
          <w:tcPr>
            <w:tcW w:w="10431" w:type="dxa"/>
            <w:gridSpan w:val="4"/>
          </w:tcPr>
          <w:p w:rsidR="002F0C3A" w:rsidRPr="002F0C3A" w:rsidRDefault="002F0C3A" w:rsidP="002F0C3A">
            <w:pPr>
              <w:rPr>
                <w:sz w:val="24"/>
              </w:rPr>
            </w:pPr>
            <w:r w:rsidRPr="002F0C3A">
              <w:rPr>
                <w:sz w:val="24"/>
              </w:rPr>
              <w:t>Brady Primary School</w:t>
            </w:r>
          </w:p>
        </w:tc>
      </w:tr>
      <w:tr w:rsidR="002F0C3A" w:rsidTr="002F0C3A">
        <w:tc>
          <w:tcPr>
            <w:tcW w:w="2564" w:type="dxa"/>
          </w:tcPr>
          <w:p w:rsidR="002F0C3A" w:rsidRPr="002F0C3A" w:rsidRDefault="002F0C3A" w:rsidP="002F0C3A">
            <w:pPr>
              <w:rPr>
                <w:b/>
                <w:sz w:val="24"/>
              </w:rPr>
            </w:pPr>
            <w:r w:rsidRPr="002F0C3A">
              <w:rPr>
                <w:b/>
                <w:sz w:val="24"/>
              </w:rPr>
              <w:t>Academic Year</w:t>
            </w:r>
          </w:p>
        </w:tc>
        <w:tc>
          <w:tcPr>
            <w:tcW w:w="2393" w:type="dxa"/>
          </w:tcPr>
          <w:p w:rsidR="002F0C3A" w:rsidRPr="002F0C3A" w:rsidRDefault="002F0C3A" w:rsidP="002F0C3A">
            <w:pPr>
              <w:rPr>
                <w:sz w:val="24"/>
              </w:rPr>
            </w:pPr>
            <w:r w:rsidRPr="002F0C3A">
              <w:rPr>
                <w:sz w:val="24"/>
              </w:rPr>
              <w:t>20</w:t>
            </w:r>
            <w:r w:rsidR="00083DDC">
              <w:rPr>
                <w:sz w:val="24"/>
              </w:rPr>
              <w:t>20-2021/ 2022</w:t>
            </w:r>
            <w:bookmarkStart w:id="0" w:name="_GoBack"/>
            <w:bookmarkEnd w:id="0"/>
          </w:p>
        </w:tc>
        <w:tc>
          <w:tcPr>
            <w:tcW w:w="2736" w:type="dxa"/>
          </w:tcPr>
          <w:p w:rsidR="002F0C3A" w:rsidRPr="002F0C3A" w:rsidRDefault="002F0C3A" w:rsidP="002F0C3A">
            <w:pPr>
              <w:rPr>
                <w:b/>
                <w:sz w:val="24"/>
              </w:rPr>
            </w:pPr>
            <w:r w:rsidRPr="002F0C3A">
              <w:rPr>
                <w:b/>
                <w:sz w:val="24"/>
              </w:rPr>
              <w:t>Total Catch-up funding</w:t>
            </w:r>
          </w:p>
        </w:tc>
        <w:tc>
          <w:tcPr>
            <w:tcW w:w="2565" w:type="dxa"/>
          </w:tcPr>
          <w:p w:rsidR="002F0C3A" w:rsidRPr="002F0C3A" w:rsidRDefault="002F0C3A" w:rsidP="002F0C3A">
            <w:pPr>
              <w:rPr>
                <w:sz w:val="24"/>
              </w:rPr>
            </w:pPr>
            <w:r w:rsidRPr="002F0C3A">
              <w:rPr>
                <w:sz w:val="24"/>
              </w:rPr>
              <w:t>£16,560</w:t>
            </w:r>
          </w:p>
        </w:tc>
        <w:tc>
          <w:tcPr>
            <w:tcW w:w="3062" w:type="dxa"/>
          </w:tcPr>
          <w:p w:rsidR="002F0C3A" w:rsidRPr="002F0C3A" w:rsidRDefault="002F0C3A" w:rsidP="002F0C3A">
            <w:pPr>
              <w:rPr>
                <w:b/>
                <w:sz w:val="24"/>
              </w:rPr>
            </w:pPr>
            <w:r w:rsidRPr="002F0C3A">
              <w:rPr>
                <w:b/>
                <w:sz w:val="24"/>
              </w:rPr>
              <w:t>Number of pupils on roll</w:t>
            </w:r>
          </w:p>
        </w:tc>
        <w:tc>
          <w:tcPr>
            <w:tcW w:w="2068" w:type="dxa"/>
          </w:tcPr>
          <w:p w:rsidR="002F0C3A" w:rsidRPr="002F0C3A" w:rsidRDefault="002F0C3A" w:rsidP="002F0C3A">
            <w:pPr>
              <w:rPr>
                <w:sz w:val="32"/>
              </w:rPr>
            </w:pPr>
            <w:r w:rsidRPr="002F0C3A">
              <w:rPr>
                <w:sz w:val="24"/>
              </w:rPr>
              <w:t>2</w:t>
            </w:r>
            <w:r w:rsidR="00083DDC">
              <w:rPr>
                <w:sz w:val="24"/>
              </w:rPr>
              <w:t>72</w:t>
            </w:r>
          </w:p>
        </w:tc>
      </w:tr>
    </w:tbl>
    <w:p w:rsidR="002F0C3A" w:rsidRDefault="002F0C3A" w:rsidP="002F0C3A">
      <w:pPr>
        <w:rPr>
          <w:b/>
          <w:sz w:val="40"/>
        </w:rPr>
      </w:pPr>
    </w:p>
    <w:tbl>
      <w:tblPr>
        <w:tblStyle w:val="TableGrid"/>
        <w:tblW w:w="0" w:type="auto"/>
        <w:tblLook w:val="04A0" w:firstRow="1" w:lastRow="0" w:firstColumn="1" w:lastColumn="0" w:noHBand="0" w:noVBand="1"/>
      </w:tblPr>
      <w:tblGrid>
        <w:gridCol w:w="15388"/>
      </w:tblGrid>
      <w:tr w:rsidR="002F0C3A" w:rsidTr="002F0C3A">
        <w:tc>
          <w:tcPr>
            <w:tcW w:w="15388" w:type="dxa"/>
            <w:shd w:val="clear" w:color="auto" w:fill="8EAADB" w:themeFill="accent1" w:themeFillTint="99"/>
          </w:tcPr>
          <w:p w:rsidR="002F0C3A" w:rsidRPr="002F0C3A" w:rsidRDefault="002F0C3A" w:rsidP="002F0C3A">
            <w:pPr>
              <w:jc w:val="center"/>
              <w:rPr>
                <w:b/>
                <w:sz w:val="32"/>
              </w:rPr>
            </w:pPr>
            <w:r>
              <w:rPr>
                <w:b/>
                <w:sz w:val="32"/>
              </w:rPr>
              <w:t>Guidance</w:t>
            </w:r>
          </w:p>
        </w:tc>
      </w:tr>
      <w:tr w:rsidR="002F0C3A" w:rsidTr="002F0C3A">
        <w:tc>
          <w:tcPr>
            <w:tcW w:w="15388" w:type="dxa"/>
          </w:tcPr>
          <w:p w:rsidR="002F0C3A" w:rsidRDefault="002F0C3A" w:rsidP="002F0C3A">
            <w:pPr>
              <w:rPr>
                <w:sz w:val="24"/>
              </w:rPr>
            </w:pPr>
            <w:r w:rsidRPr="002F0C3A">
              <w:rPr>
                <w:sz w:val="24"/>
              </w:rPr>
              <w:t xml:space="preserve">Children and young people across the country have experienced unprecedented disruption to their education as a result of the coronavirus (COVID19). Those from the most vulnerable and disadvantaged backgrounds will be among those hardest hit. The aggregate impact of lost time in education will be substantial, and the scale of our response must match he scale of the challenge. </w:t>
            </w:r>
          </w:p>
          <w:p w:rsidR="002F0C3A" w:rsidRDefault="002F0C3A" w:rsidP="002F0C3A">
            <w:pPr>
              <w:rPr>
                <w:sz w:val="24"/>
              </w:rPr>
            </w:pPr>
          </w:p>
          <w:p w:rsidR="002F0C3A" w:rsidRDefault="002F0C3A" w:rsidP="002F0C3A">
            <w:pPr>
              <w:rPr>
                <w:sz w:val="24"/>
              </w:rPr>
            </w:pPr>
            <w:r>
              <w:rPr>
                <w:sz w:val="24"/>
              </w:rPr>
              <w:t xml:space="preserve">School’s allocations will be calculated on a per pupil basis, providing each mainstream school with a total of £80 for each pupil in years Reception through to 11. </w:t>
            </w:r>
          </w:p>
          <w:p w:rsidR="00B2634F" w:rsidRDefault="00B2634F" w:rsidP="002F0C3A">
            <w:pPr>
              <w:rPr>
                <w:sz w:val="24"/>
              </w:rPr>
            </w:pPr>
          </w:p>
          <w:p w:rsidR="00B2634F" w:rsidRPr="002F0C3A" w:rsidRDefault="00B2634F" w:rsidP="002F0C3A">
            <w:pPr>
              <w:rPr>
                <w:sz w:val="24"/>
              </w:rPr>
            </w:pPr>
            <w:r>
              <w:rPr>
                <w:sz w:val="24"/>
              </w:rPr>
              <w:t xml:space="preserve">As the catch-up premium has been designed to mitigate the effects of the unique disruption caused by coronavirus (COVID19), the grant will only be available currently for the 2020-2021 academic year, however this is under review. It cannot be added to schools’ baselines in calculating future years’ funding allocations. </w:t>
            </w:r>
          </w:p>
        </w:tc>
      </w:tr>
    </w:tbl>
    <w:p w:rsidR="002F0C3A" w:rsidRDefault="002F0C3A" w:rsidP="002F0C3A">
      <w:pPr>
        <w:rPr>
          <w:b/>
          <w:sz w:val="40"/>
        </w:rPr>
      </w:pPr>
    </w:p>
    <w:tbl>
      <w:tblPr>
        <w:tblStyle w:val="TableGrid"/>
        <w:tblW w:w="0" w:type="auto"/>
        <w:tblLook w:val="04A0" w:firstRow="1" w:lastRow="0" w:firstColumn="1" w:lastColumn="0" w:noHBand="0" w:noVBand="1"/>
      </w:tblPr>
      <w:tblGrid>
        <w:gridCol w:w="7694"/>
        <w:gridCol w:w="7694"/>
      </w:tblGrid>
      <w:tr w:rsidR="00B2634F" w:rsidTr="00B2634F">
        <w:tc>
          <w:tcPr>
            <w:tcW w:w="7694" w:type="dxa"/>
            <w:shd w:val="clear" w:color="auto" w:fill="8EAADB" w:themeFill="accent1" w:themeFillTint="99"/>
          </w:tcPr>
          <w:p w:rsidR="00B2634F" w:rsidRPr="00B2634F" w:rsidRDefault="00B2634F" w:rsidP="00B2634F">
            <w:pPr>
              <w:jc w:val="center"/>
              <w:rPr>
                <w:b/>
                <w:sz w:val="32"/>
              </w:rPr>
            </w:pPr>
            <w:r>
              <w:rPr>
                <w:b/>
                <w:sz w:val="32"/>
              </w:rPr>
              <w:t>Use of funds</w:t>
            </w:r>
          </w:p>
        </w:tc>
        <w:tc>
          <w:tcPr>
            <w:tcW w:w="7694" w:type="dxa"/>
            <w:shd w:val="clear" w:color="auto" w:fill="8EAADB" w:themeFill="accent1" w:themeFillTint="99"/>
          </w:tcPr>
          <w:p w:rsidR="00B2634F" w:rsidRDefault="00B2634F" w:rsidP="00B2634F">
            <w:pPr>
              <w:jc w:val="center"/>
              <w:rPr>
                <w:b/>
                <w:sz w:val="40"/>
              </w:rPr>
            </w:pPr>
            <w:r w:rsidRPr="00B2634F">
              <w:rPr>
                <w:b/>
                <w:sz w:val="32"/>
              </w:rPr>
              <w:t>EEF Recommendations</w:t>
            </w:r>
          </w:p>
        </w:tc>
      </w:tr>
      <w:tr w:rsidR="00B2634F" w:rsidTr="00B2634F">
        <w:tc>
          <w:tcPr>
            <w:tcW w:w="7694" w:type="dxa"/>
          </w:tcPr>
          <w:p w:rsidR="00B2634F" w:rsidRPr="00B2634F" w:rsidRDefault="00B2634F" w:rsidP="002F0C3A">
            <w:pPr>
              <w:rPr>
                <w:sz w:val="24"/>
              </w:rPr>
            </w:pPr>
            <w:r w:rsidRPr="00B2634F">
              <w:rPr>
                <w:sz w:val="24"/>
              </w:rPr>
              <w:t>Schools should use this funding for specific activities or resources to support their pupils to catch up for lost teaching over the previous year in line with the guidance on curriculum expectations for the current academic year.</w:t>
            </w:r>
          </w:p>
          <w:p w:rsidR="00B2634F" w:rsidRPr="00B2634F" w:rsidRDefault="00B2634F" w:rsidP="002F0C3A">
            <w:pPr>
              <w:rPr>
                <w:sz w:val="24"/>
              </w:rPr>
            </w:pPr>
          </w:p>
          <w:p w:rsidR="00B2634F" w:rsidRPr="00B2634F" w:rsidRDefault="00B2634F" w:rsidP="002F0C3A">
            <w:pPr>
              <w:rPr>
                <w:sz w:val="24"/>
              </w:rPr>
            </w:pPr>
            <w:r w:rsidRPr="00B2634F">
              <w:rPr>
                <w:sz w:val="24"/>
              </w:rPr>
              <w:t xml:space="preserve">Schools have the flexibility to spend their funding in the best way for their cohort and circumstances. </w:t>
            </w:r>
          </w:p>
          <w:p w:rsidR="00B2634F" w:rsidRPr="00B2634F" w:rsidRDefault="00B2634F" w:rsidP="002F0C3A">
            <w:pPr>
              <w:rPr>
                <w:b/>
                <w:sz w:val="24"/>
              </w:rPr>
            </w:pPr>
            <w:r w:rsidRPr="00B2634F">
              <w:rPr>
                <w:sz w:val="24"/>
              </w:rPr>
              <w:lastRenderedPageBreak/>
              <w:t>To support schools to make the best use of this funding, the Education Endowment Foundation (EEF) has published a Coronavirus support guide for schools with evidence-based approaches to aid cat-up for all students. Schools should use this document to help the, direct their additional funding in the most effective way.</w:t>
            </w:r>
            <w:r>
              <w:rPr>
                <w:b/>
                <w:sz w:val="24"/>
              </w:rPr>
              <w:t xml:space="preserve"> </w:t>
            </w:r>
          </w:p>
        </w:tc>
        <w:tc>
          <w:tcPr>
            <w:tcW w:w="7694" w:type="dxa"/>
          </w:tcPr>
          <w:p w:rsidR="00B2634F" w:rsidRDefault="00B2634F" w:rsidP="002F0C3A">
            <w:pPr>
              <w:rPr>
                <w:sz w:val="24"/>
              </w:rPr>
            </w:pPr>
            <w:r>
              <w:rPr>
                <w:sz w:val="24"/>
              </w:rPr>
              <w:lastRenderedPageBreak/>
              <w:t>The EEF advises the following:</w:t>
            </w:r>
          </w:p>
          <w:p w:rsidR="00B2634F" w:rsidRDefault="00B2634F" w:rsidP="002F0C3A">
            <w:pPr>
              <w:rPr>
                <w:sz w:val="24"/>
              </w:rPr>
            </w:pPr>
          </w:p>
          <w:p w:rsidR="00B2634F" w:rsidRDefault="00B2634F" w:rsidP="002F0C3A">
            <w:pPr>
              <w:rPr>
                <w:sz w:val="24"/>
              </w:rPr>
            </w:pPr>
            <w:r>
              <w:rPr>
                <w:sz w:val="24"/>
              </w:rPr>
              <w:t>Teaching and whole school strategies</w:t>
            </w:r>
          </w:p>
          <w:p w:rsidR="00B2634F" w:rsidRPr="00B2634F" w:rsidRDefault="00B2634F" w:rsidP="00B2634F">
            <w:pPr>
              <w:pStyle w:val="ListParagraph"/>
              <w:numPr>
                <w:ilvl w:val="0"/>
                <w:numId w:val="1"/>
              </w:numPr>
              <w:rPr>
                <w:sz w:val="24"/>
              </w:rPr>
            </w:pPr>
            <w:r w:rsidRPr="00B2634F">
              <w:rPr>
                <w:sz w:val="24"/>
              </w:rPr>
              <w:t>Supporting great teaching</w:t>
            </w:r>
          </w:p>
          <w:p w:rsidR="00B2634F" w:rsidRPr="00B2634F" w:rsidRDefault="00B2634F" w:rsidP="00B2634F">
            <w:pPr>
              <w:pStyle w:val="ListParagraph"/>
              <w:numPr>
                <w:ilvl w:val="0"/>
                <w:numId w:val="1"/>
              </w:numPr>
              <w:rPr>
                <w:sz w:val="24"/>
              </w:rPr>
            </w:pPr>
            <w:r w:rsidRPr="00B2634F">
              <w:rPr>
                <w:sz w:val="24"/>
              </w:rPr>
              <w:t>Pupil assessment and feedback</w:t>
            </w:r>
          </w:p>
          <w:p w:rsidR="00B2634F" w:rsidRDefault="00B2634F" w:rsidP="00B2634F">
            <w:pPr>
              <w:pStyle w:val="ListParagraph"/>
              <w:numPr>
                <w:ilvl w:val="0"/>
                <w:numId w:val="1"/>
              </w:numPr>
              <w:rPr>
                <w:sz w:val="24"/>
              </w:rPr>
            </w:pPr>
            <w:r w:rsidRPr="00B2634F">
              <w:rPr>
                <w:sz w:val="24"/>
              </w:rPr>
              <w:t>Transition support</w:t>
            </w:r>
          </w:p>
          <w:p w:rsidR="00B2634F" w:rsidRDefault="00B2634F" w:rsidP="00B2634F">
            <w:pPr>
              <w:rPr>
                <w:sz w:val="24"/>
              </w:rPr>
            </w:pPr>
          </w:p>
          <w:p w:rsidR="00B2634F" w:rsidRDefault="00B2634F" w:rsidP="00B2634F">
            <w:pPr>
              <w:rPr>
                <w:sz w:val="24"/>
              </w:rPr>
            </w:pPr>
            <w:r>
              <w:rPr>
                <w:sz w:val="24"/>
              </w:rPr>
              <w:lastRenderedPageBreak/>
              <w:t>Targeted approaches</w:t>
            </w:r>
          </w:p>
          <w:p w:rsidR="00B2634F" w:rsidRPr="00B2634F" w:rsidRDefault="00B2634F" w:rsidP="00B2634F">
            <w:pPr>
              <w:pStyle w:val="ListParagraph"/>
              <w:numPr>
                <w:ilvl w:val="0"/>
                <w:numId w:val="2"/>
              </w:numPr>
              <w:rPr>
                <w:sz w:val="24"/>
              </w:rPr>
            </w:pPr>
            <w:r w:rsidRPr="00B2634F">
              <w:rPr>
                <w:sz w:val="24"/>
              </w:rPr>
              <w:t>One to one and small group tuition</w:t>
            </w:r>
          </w:p>
          <w:p w:rsidR="00B2634F" w:rsidRDefault="00B2634F" w:rsidP="00B2634F">
            <w:pPr>
              <w:pStyle w:val="ListParagraph"/>
              <w:numPr>
                <w:ilvl w:val="0"/>
                <w:numId w:val="2"/>
              </w:numPr>
              <w:rPr>
                <w:sz w:val="24"/>
              </w:rPr>
            </w:pPr>
            <w:r w:rsidRPr="00B2634F">
              <w:rPr>
                <w:sz w:val="24"/>
              </w:rPr>
              <w:t>Intervention programmes</w:t>
            </w:r>
          </w:p>
          <w:p w:rsidR="00B2634F" w:rsidRDefault="00B2634F" w:rsidP="00B2634F">
            <w:pPr>
              <w:rPr>
                <w:sz w:val="24"/>
              </w:rPr>
            </w:pPr>
          </w:p>
          <w:p w:rsidR="00B2634F" w:rsidRDefault="00B2634F" w:rsidP="00B2634F">
            <w:pPr>
              <w:rPr>
                <w:sz w:val="24"/>
              </w:rPr>
            </w:pPr>
            <w:r>
              <w:rPr>
                <w:sz w:val="24"/>
              </w:rPr>
              <w:t>Wider strategies</w:t>
            </w:r>
          </w:p>
          <w:p w:rsidR="00B2634F" w:rsidRPr="00434FB2" w:rsidRDefault="00B2634F" w:rsidP="00434FB2">
            <w:pPr>
              <w:pStyle w:val="ListParagraph"/>
              <w:numPr>
                <w:ilvl w:val="0"/>
                <w:numId w:val="3"/>
              </w:numPr>
              <w:rPr>
                <w:sz w:val="24"/>
              </w:rPr>
            </w:pPr>
            <w:r w:rsidRPr="00434FB2">
              <w:rPr>
                <w:sz w:val="24"/>
              </w:rPr>
              <w:t>Supporting parents and carers</w:t>
            </w:r>
          </w:p>
          <w:p w:rsidR="00B2634F" w:rsidRPr="00434FB2" w:rsidRDefault="00B2634F" w:rsidP="00434FB2">
            <w:pPr>
              <w:pStyle w:val="ListParagraph"/>
              <w:numPr>
                <w:ilvl w:val="0"/>
                <w:numId w:val="3"/>
              </w:numPr>
              <w:rPr>
                <w:sz w:val="24"/>
              </w:rPr>
            </w:pPr>
            <w:r w:rsidRPr="00434FB2">
              <w:rPr>
                <w:sz w:val="24"/>
              </w:rPr>
              <w:t>Access to technology</w:t>
            </w:r>
          </w:p>
        </w:tc>
      </w:tr>
    </w:tbl>
    <w:p w:rsidR="00B2634F" w:rsidRDefault="00B2634F"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p>
    <w:p w:rsidR="00434FB2" w:rsidRDefault="00434FB2" w:rsidP="002F0C3A">
      <w:pPr>
        <w:rPr>
          <w:b/>
          <w:sz w:val="40"/>
        </w:rPr>
      </w:pPr>
      <w:r>
        <w:rPr>
          <w:b/>
          <w:noProof/>
          <w:sz w:val="40"/>
        </w:rPr>
        <w:lastRenderedPageBreak/>
        <w:drawing>
          <wp:anchor distT="0" distB="0" distL="114300" distR="114300" simplePos="0" relativeHeight="251660288" behindDoc="0" locked="0" layoutInCell="1" allowOverlap="1">
            <wp:simplePos x="0" y="0"/>
            <wp:positionH relativeFrom="page">
              <wp:posOffset>323849</wp:posOffset>
            </wp:positionH>
            <wp:positionV relativeFrom="page">
              <wp:posOffset>466725</wp:posOffset>
            </wp:positionV>
            <wp:extent cx="10275531" cy="5800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203" cy="5803927"/>
                    </a:xfrm>
                    <a:prstGeom prst="rect">
                      <a:avLst/>
                    </a:prstGeom>
                    <a:noFill/>
                  </pic:spPr>
                </pic:pic>
              </a:graphicData>
            </a:graphic>
            <wp14:sizeRelH relativeFrom="page">
              <wp14:pctWidth>0</wp14:pctWidth>
            </wp14:sizeRelH>
            <wp14:sizeRelV relativeFrom="page">
              <wp14:pctHeight>0</wp14:pctHeight>
            </wp14:sizeRelV>
          </wp:anchor>
        </w:drawing>
      </w:r>
    </w:p>
    <w:p w:rsidR="005C6577" w:rsidRDefault="00866080" w:rsidP="002F0C3A">
      <w:pPr>
        <w:rPr>
          <w:b/>
          <w:sz w:val="40"/>
        </w:rPr>
      </w:pPr>
      <w:r w:rsidRPr="00434FB2">
        <w:rPr>
          <w:b/>
          <w:noProof/>
          <w:sz w:val="40"/>
        </w:rPr>
        <mc:AlternateContent>
          <mc:Choice Requires="wps">
            <w:drawing>
              <wp:anchor distT="45720" distB="45720" distL="114300" distR="114300" simplePos="0" relativeHeight="251666432" behindDoc="0" locked="0" layoutInCell="1" allowOverlap="1" wp14:anchorId="11748007" wp14:editId="3D605693">
                <wp:simplePos x="0" y="0"/>
                <wp:positionH relativeFrom="margin">
                  <wp:align>right</wp:align>
                </wp:positionH>
                <wp:positionV relativeFrom="paragraph">
                  <wp:posOffset>2916555</wp:posOffset>
                </wp:positionV>
                <wp:extent cx="2362200" cy="1704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704975"/>
                        </a:xfrm>
                        <a:prstGeom prst="rect">
                          <a:avLst/>
                        </a:prstGeom>
                        <a:solidFill>
                          <a:srgbClr val="FFFFFF"/>
                        </a:solidFill>
                        <a:ln w="9525">
                          <a:solidFill>
                            <a:schemeClr val="bg1"/>
                          </a:solidFill>
                          <a:miter lim="800000"/>
                          <a:headEnd/>
                          <a:tailEnd/>
                        </a:ln>
                      </wps:spPr>
                      <wps:txbx>
                        <w:txbxContent>
                          <w:p w:rsidR="00434FB2" w:rsidRPr="00866080" w:rsidRDefault="00866080" w:rsidP="00434FB2">
                            <w:pPr>
                              <w:rPr>
                                <w:sz w:val="20"/>
                                <w:lang w:val="en-US"/>
                              </w:rPr>
                            </w:pPr>
                            <w:r w:rsidRPr="00866080">
                              <w:rPr>
                                <w:sz w:val="20"/>
                                <w:lang w:val="en-US"/>
                              </w:rPr>
                              <w:t>Specialist teachers enhancing the curriculum</w:t>
                            </w:r>
                          </w:p>
                          <w:p w:rsidR="00866080" w:rsidRPr="00866080" w:rsidRDefault="00866080" w:rsidP="00434FB2">
                            <w:pPr>
                              <w:rPr>
                                <w:sz w:val="20"/>
                                <w:lang w:val="en-US"/>
                              </w:rPr>
                            </w:pPr>
                            <w:r w:rsidRPr="00866080">
                              <w:rPr>
                                <w:sz w:val="20"/>
                                <w:lang w:val="en-US"/>
                              </w:rPr>
                              <w:t>Workshops to enhance curriculum and build cultural capital</w:t>
                            </w:r>
                          </w:p>
                          <w:p w:rsidR="00866080" w:rsidRPr="00866080" w:rsidRDefault="00866080" w:rsidP="00434FB2">
                            <w:pPr>
                              <w:rPr>
                                <w:sz w:val="20"/>
                                <w:lang w:val="en-US"/>
                              </w:rPr>
                            </w:pPr>
                            <w:r w:rsidRPr="00866080">
                              <w:rPr>
                                <w:sz w:val="20"/>
                                <w:lang w:val="en-US"/>
                              </w:rPr>
                              <w:t xml:space="preserve">Pastoral support/ counselling </w:t>
                            </w:r>
                          </w:p>
                          <w:p w:rsidR="00866080" w:rsidRPr="00866080" w:rsidRDefault="00866080" w:rsidP="00434FB2">
                            <w:pPr>
                              <w:rPr>
                                <w:sz w:val="20"/>
                                <w:lang w:val="en-US"/>
                              </w:rPr>
                            </w:pPr>
                            <w:r w:rsidRPr="00866080">
                              <w:rPr>
                                <w:sz w:val="20"/>
                                <w:lang w:val="en-US"/>
                              </w:rPr>
                              <w:t>Staff wellbeing focus</w:t>
                            </w:r>
                          </w:p>
                          <w:p w:rsidR="00866080" w:rsidRPr="00866080" w:rsidRDefault="00866080" w:rsidP="00434FB2">
                            <w:pPr>
                              <w:rPr>
                                <w:sz w:val="20"/>
                                <w:lang w:val="en-US"/>
                              </w:rPr>
                            </w:pPr>
                            <w:r w:rsidRPr="00866080">
                              <w:rPr>
                                <w:sz w:val="20"/>
                                <w:lang w:val="en-US"/>
                              </w:rPr>
                              <w:t>1 Dec</w:t>
                            </w:r>
                            <w:r>
                              <w:rPr>
                                <w:sz w:val="20"/>
                                <w:lang w:val="en-US"/>
                              </w:rPr>
                              <w:t>is</w:t>
                            </w:r>
                            <w:r w:rsidRPr="00866080">
                              <w:rPr>
                                <w:sz w:val="20"/>
                                <w:lang w:val="en-US"/>
                              </w:rPr>
                              <w:t>ion PSHE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48007" id="_x0000_t202" coordsize="21600,21600" o:spt="202" path="m,l,21600r21600,l21600,xe">
                <v:stroke joinstyle="miter"/>
                <v:path gradientshapeok="t" o:connecttype="rect"/>
              </v:shapetype>
              <v:shape id="Text Box 2" o:spid="_x0000_s1026" type="#_x0000_t202" style="position:absolute;margin-left:134.8pt;margin-top:229.65pt;width:186pt;height:134.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" strokecolor="white [3212]">
                <v:textbox>
                  <w:txbxContent>
                    <w:p w:rsidR="00434FB2" w:rsidRPr="00866080" w:rsidRDefault="00866080" w:rsidP="00434FB2">
                      <w:pPr>
                        <w:rPr>
                          <w:sz w:val="20"/>
                          <w:lang w:val="en-US"/>
                        </w:rPr>
                      </w:pPr>
                      <w:r w:rsidRPr="00866080">
                        <w:rPr>
                          <w:sz w:val="20"/>
                          <w:lang w:val="en-US"/>
                        </w:rPr>
                        <w:t>Specialist teachers enhancing the curriculum</w:t>
                      </w:r>
                    </w:p>
                    <w:p w:rsidR="00866080" w:rsidRPr="00866080" w:rsidRDefault="00866080" w:rsidP="00434FB2">
                      <w:pPr>
                        <w:rPr>
                          <w:sz w:val="20"/>
                          <w:lang w:val="en-US"/>
                        </w:rPr>
                      </w:pPr>
                      <w:r w:rsidRPr="00866080">
                        <w:rPr>
                          <w:sz w:val="20"/>
                          <w:lang w:val="en-US"/>
                        </w:rPr>
                        <w:t>Workshops to enhance curriculum and build cultural capital</w:t>
                      </w:r>
                    </w:p>
                    <w:p w:rsidR="00866080" w:rsidRPr="00866080" w:rsidRDefault="00866080" w:rsidP="00434FB2">
                      <w:pPr>
                        <w:rPr>
                          <w:sz w:val="20"/>
                          <w:lang w:val="en-US"/>
                        </w:rPr>
                      </w:pPr>
                      <w:r w:rsidRPr="00866080">
                        <w:rPr>
                          <w:sz w:val="20"/>
                          <w:lang w:val="en-US"/>
                        </w:rPr>
                        <w:t xml:space="preserve">Pastoral support/ counselling </w:t>
                      </w:r>
                    </w:p>
                    <w:p w:rsidR="00866080" w:rsidRPr="00866080" w:rsidRDefault="00866080" w:rsidP="00434FB2">
                      <w:pPr>
                        <w:rPr>
                          <w:sz w:val="20"/>
                          <w:lang w:val="en-US"/>
                        </w:rPr>
                      </w:pPr>
                      <w:r w:rsidRPr="00866080">
                        <w:rPr>
                          <w:sz w:val="20"/>
                          <w:lang w:val="en-US"/>
                        </w:rPr>
                        <w:t>Staff wellbeing focus</w:t>
                      </w:r>
                    </w:p>
                    <w:p w:rsidR="00866080" w:rsidRPr="00866080" w:rsidRDefault="00866080" w:rsidP="00434FB2">
                      <w:pPr>
                        <w:rPr>
                          <w:sz w:val="20"/>
                          <w:lang w:val="en-US"/>
                        </w:rPr>
                      </w:pPr>
                      <w:r w:rsidRPr="00866080">
                        <w:rPr>
                          <w:sz w:val="20"/>
                          <w:lang w:val="en-US"/>
                        </w:rPr>
                        <w:t>1 Dec</w:t>
                      </w:r>
                      <w:r>
                        <w:rPr>
                          <w:sz w:val="20"/>
                          <w:lang w:val="en-US"/>
                        </w:rPr>
                        <w:t>is</w:t>
                      </w:r>
                      <w:r w:rsidRPr="00866080">
                        <w:rPr>
                          <w:sz w:val="20"/>
                          <w:lang w:val="en-US"/>
                        </w:rPr>
                        <w:t>ion PSHE lessons</w:t>
                      </w:r>
                    </w:p>
                  </w:txbxContent>
                </v:textbox>
                <w10:wrap type="square" anchorx="margin"/>
              </v:shape>
            </w:pict>
          </mc:Fallback>
        </mc:AlternateContent>
      </w:r>
      <w:r w:rsidR="0065278C" w:rsidRPr="00434FB2">
        <w:rPr>
          <w:b/>
          <w:noProof/>
          <w:sz w:val="40"/>
        </w:rPr>
        <mc:AlternateContent>
          <mc:Choice Requires="wps">
            <w:drawing>
              <wp:anchor distT="45720" distB="45720" distL="114300" distR="114300" simplePos="0" relativeHeight="251664384" behindDoc="0" locked="0" layoutInCell="1" allowOverlap="1" wp14:anchorId="5831FA4D" wp14:editId="105C3FEE">
                <wp:simplePos x="0" y="0"/>
                <wp:positionH relativeFrom="column">
                  <wp:posOffset>7277100</wp:posOffset>
                </wp:positionH>
                <wp:positionV relativeFrom="paragraph">
                  <wp:posOffset>706755</wp:posOffset>
                </wp:positionV>
                <wp:extent cx="2476500" cy="1685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85925"/>
                        </a:xfrm>
                        <a:prstGeom prst="rect">
                          <a:avLst/>
                        </a:prstGeom>
                        <a:solidFill>
                          <a:srgbClr val="FFFFFF"/>
                        </a:solidFill>
                        <a:ln w="9525">
                          <a:solidFill>
                            <a:schemeClr val="bg1"/>
                          </a:solidFill>
                          <a:miter lim="800000"/>
                          <a:headEnd/>
                          <a:tailEnd/>
                        </a:ln>
                      </wps:spPr>
                      <wps:txbx>
                        <w:txbxContent>
                          <w:p w:rsidR="00434FB2" w:rsidRPr="0065278C" w:rsidRDefault="0065278C" w:rsidP="0065278C">
                            <w:pPr>
                              <w:rPr>
                                <w:sz w:val="20"/>
                                <w:lang w:val="en-US"/>
                              </w:rPr>
                            </w:pPr>
                            <w:r w:rsidRPr="0065278C">
                              <w:rPr>
                                <w:sz w:val="20"/>
                                <w:lang w:val="en-US"/>
                              </w:rPr>
                              <w:t>Additional teacher led support in Year 6</w:t>
                            </w:r>
                          </w:p>
                          <w:p w:rsidR="0065278C" w:rsidRPr="0065278C" w:rsidRDefault="0065278C" w:rsidP="0065278C">
                            <w:pPr>
                              <w:rPr>
                                <w:sz w:val="20"/>
                                <w:lang w:val="en-US"/>
                              </w:rPr>
                            </w:pPr>
                            <w:r w:rsidRPr="0065278C">
                              <w:rPr>
                                <w:sz w:val="20"/>
                                <w:lang w:val="en-US"/>
                              </w:rPr>
                              <w:t>Pupil progress meetings each half term</w:t>
                            </w:r>
                          </w:p>
                          <w:p w:rsidR="0065278C" w:rsidRPr="0065278C" w:rsidRDefault="0065278C" w:rsidP="0065278C">
                            <w:pPr>
                              <w:rPr>
                                <w:sz w:val="20"/>
                                <w:lang w:val="en-US"/>
                              </w:rPr>
                            </w:pPr>
                            <w:r w:rsidRPr="0065278C">
                              <w:rPr>
                                <w:sz w:val="20"/>
                                <w:lang w:val="en-US"/>
                              </w:rPr>
                              <w:t>Pastoral support provides 1:1 support to assist children where needed</w:t>
                            </w:r>
                          </w:p>
                          <w:p w:rsidR="0065278C" w:rsidRPr="0065278C" w:rsidRDefault="0065278C" w:rsidP="0065278C">
                            <w:pPr>
                              <w:rPr>
                                <w:sz w:val="20"/>
                                <w:lang w:val="en-US"/>
                              </w:rPr>
                            </w:pPr>
                            <w:r w:rsidRPr="0065278C">
                              <w:rPr>
                                <w:sz w:val="20"/>
                                <w:lang w:val="en-US"/>
                              </w:rPr>
                              <w:t>Targeted support and deployment of Tas</w:t>
                            </w:r>
                          </w:p>
                          <w:p w:rsidR="0065278C" w:rsidRPr="0065278C" w:rsidRDefault="0065278C" w:rsidP="0065278C">
                            <w:pPr>
                              <w:rPr>
                                <w:sz w:val="20"/>
                                <w:lang w:val="en-US"/>
                              </w:rPr>
                            </w:pPr>
                            <w:r w:rsidRPr="0065278C">
                              <w:rPr>
                                <w:sz w:val="20"/>
                                <w:lang w:val="en-US"/>
                              </w:rPr>
                              <w:t>Targeted use of Seesaw to plug gaps in learning through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FA4D" id="_x0000_s1027" type="#_x0000_t202" style="position:absolute;margin-left:573pt;margin-top:55.65pt;width:195pt;height:13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" strokecolor="white [3212]">
                <v:textbox>
                  <w:txbxContent>
                    <w:p w:rsidR="00434FB2" w:rsidRPr="0065278C" w:rsidRDefault="0065278C" w:rsidP="0065278C">
                      <w:pPr>
                        <w:rPr>
                          <w:sz w:val="20"/>
                          <w:lang w:val="en-US"/>
                        </w:rPr>
                      </w:pPr>
                      <w:r w:rsidRPr="0065278C">
                        <w:rPr>
                          <w:sz w:val="20"/>
                          <w:lang w:val="en-US"/>
                        </w:rPr>
                        <w:t>Additional teacher led support in Year 6</w:t>
                      </w:r>
                    </w:p>
                    <w:p w:rsidR="0065278C" w:rsidRPr="0065278C" w:rsidRDefault="0065278C" w:rsidP="0065278C">
                      <w:pPr>
                        <w:rPr>
                          <w:sz w:val="20"/>
                          <w:lang w:val="en-US"/>
                        </w:rPr>
                      </w:pPr>
                      <w:r w:rsidRPr="0065278C">
                        <w:rPr>
                          <w:sz w:val="20"/>
                          <w:lang w:val="en-US"/>
                        </w:rPr>
                        <w:t>Pupil progress meetings each half term</w:t>
                      </w:r>
                    </w:p>
                    <w:p w:rsidR="0065278C" w:rsidRPr="0065278C" w:rsidRDefault="0065278C" w:rsidP="0065278C">
                      <w:pPr>
                        <w:rPr>
                          <w:sz w:val="20"/>
                          <w:lang w:val="en-US"/>
                        </w:rPr>
                      </w:pPr>
                      <w:r w:rsidRPr="0065278C">
                        <w:rPr>
                          <w:sz w:val="20"/>
                          <w:lang w:val="en-US"/>
                        </w:rPr>
                        <w:t>Pastoral support provides 1:1 support to assist children where needed</w:t>
                      </w:r>
                    </w:p>
                    <w:p w:rsidR="0065278C" w:rsidRPr="0065278C" w:rsidRDefault="0065278C" w:rsidP="0065278C">
                      <w:pPr>
                        <w:rPr>
                          <w:sz w:val="20"/>
                          <w:lang w:val="en-US"/>
                        </w:rPr>
                      </w:pPr>
                      <w:r w:rsidRPr="0065278C">
                        <w:rPr>
                          <w:sz w:val="20"/>
                          <w:lang w:val="en-US"/>
                        </w:rPr>
                        <w:t>Targeted support and deployment of Tas</w:t>
                      </w:r>
                    </w:p>
                    <w:p w:rsidR="0065278C" w:rsidRPr="0065278C" w:rsidRDefault="0065278C" w:rsidP="0065278C">
                      <w:pPr>
                        <w:rPr>
                          <w:sz w:val="20"/>
                          <w:lang w:val="en-US"/>
                        </w:rPr>
                      </w:pPr>
                      <w:r w:rsidRPr="0065278C">
                        <w:rPr>
                          <w:sz w:val="20"/>
                          <w:lang w:val="en-US"/>
                        </w:rPr>
                        <w:t>Targeted use of Seesaw to plug gaps in learning through homework</w:t>
                      </w:r>
                    </w:p>
                  </w:txbxContent>
                </v:textbox>
                <w10:wrap type="square"/>
              </v:shape>
            </w:pict>
          </mc:Fallback>
        </mc:AlternateContent>
      </w:r>
      <w:r w:rsidR="00434FB2" w:rsidRPr="00434FB2">
        <w:rPr>
          <w:b/>
          <w:noProof/>
          <w:sz w:val="40"/>
        </w:rPr>
        <mc:AlternateContent>
          <mc:Choice Requires="wps">
            <w:drawing>
              <wp:anchor distT="45720" distB="45720" distL="114300" distR="114300" simplePos="0" relativeHeight="251662336" behindDoc="0" locked="0" layoutInCell="1" allowOverlap="1">
                <wp:simplePos x="0" y="0"/>
                <wp:positionH relativeFrom="column">
                  <wp:posOffset>533400</wp:posOffset>
                </wp:positionH>
                <wp:positionV relativeFrom="paragraph">
                  <wp:posOffset>611505</wp:posOffset>
                </wp:positionV>
                <wp:extent cx="2419350" cy="3990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990975"/>
                        </a:xfrm>
                        <a:prstGeom prst="rect">
                          <a:avLst/>
                        </a:prstGeom>
                        <a:solidFill>
                          <a:srgbClr val="FFFFFF"/>
                        </a:solidFill>
                        <a:ln w="9525">
                          <a:solidFill>
                            <a:schemeClr val="bg1"/>
                          </a:solidFill>
                          <a:miter lim="800000"/>
                          <a:headEnd/>
                          <a:tailEnd/>
                        </a:ln>
                      </wps:spPr>
                      <wps:txbx>
                        <w:txbxContent>
                          <w:p w:rsidR="00434FB2" w:rsidRPr="00434FB2" w:rsidRDefault="00434FB2" w:rsidP="00434FB2">
                            <w:pPr>
                              <w:rPr>
                                <w:sz w:val="20"/>
                                <w:lang w:val="en-US"/>
                              </w:rPr>
                            </w:pPr>
                            <w:r w:rsidRPr="00434FB2">
                              <w:rPr>
                                <w:sz w:val="20"/>
                                <w:lang w:val="en-US"/>
                              </w:rPr>
                              <w:t>Quality first teaching supported by evidence informed CPD for teachers and support staff</w:t>
                            </w:r>
                          </w:p>
                          <w:p w:rsidR="00434FB2" w:rsidRPr="00434FB2" w:rsidRDefault="00434FB2" w:rsidP="00434FB2">
                            <w:pPr>
                              <w:rPr>
                                <w:sz w:val="20"/>
                                <w:lang w:val="en-US"/>
                              </w:rPr>
                            </w:pPr>
                            <w:r w:rsidRPr="00434FB2">
                              <w:rPr>
                                <w:sz w:val="20"/>
                                <w:lang w:val="en-US"/>
                              </w:rPr>
                              <w:t>A broad and engaging curriculum that focuses on vocabulary acquisition</w:t>
                            </w:r>
                          </w:p>
                          <w:p w:rsidR="00434FB2" w:rsidRPr="00434FB2" w:rsidRDefault="00434FB2" w:rsidP="00434FB2">
                            <w:pPr>
                              <w:rPr>
                                <w:sz w:val="20"/>
                                <w:lang w:val="en-US"/>
                              </w:rPr>
                            </w:pPr>
                            <w:r w:rsidRPr="00434FB2">
                              <w:rPr>
                                <w:sz w:val="20"/>
                                <w:lang w:val="en-US"/>
                              </w:rPr>
                              <w:t>Knowledge and skills rich curriculum with teachers building on previous learning</w:t>
                            </w:r>
                          </w:p>
                          <w:p w:rsidR="00434FB2" w:rsidRPr="00434FB2" w:rsidRDefault="00434FB2" w:rsidP="00434FB2">
                            <w:pPr>
                              <w:rPr>
                                <w:sz w:val="20"/>
                                <w:lang w:val="en-US"/>
                              </w:rPr>
                            </w:pPr>
                            <w:r w:rsidRPr="00434FB2">
                              <w:rPr>
                                <w:sz w:val="20"/>
                                <w:lang w:val="en-US"/>
                              </w:rPr>
                              <w:t>Whole class Guided Reading sessions and Oxford Owl</w:t>
                            </w:r>
                          </w:p>
                          <w:p w:rsidR="00434FB2" w:rsidRPr="00434FB2" w:rsidRDefault="00434FB2" w:rsidP="00434FB2">
                            <w:pPr>
                              <w:rPr>
                                <w:sz w:val="20"/>
                                <w:lang w:val="en-US"/>
                              </w:rPr>
                            </w:pPr>
                            <w:r w:rsidRPr="00434FB2">
                              <w:rPr>
                                <w:sz w:val="20"/>
                                <w:lang w:val="en-US"/>
                              </w:rPr>
                              <w:t xml:space="preserve">Focus on key essentials for Reading, Writing and Maths- online learning packages to support at home if required </w:t>
                            </w:r>
                            <w:proofErr w:type="spellStart"/>
                            <w:r w:rsidRPr="00434FB2">
                              <w:rPr>
                                <w:sz w:val="20"/>
                                <w:lang w:val="en-US"/>
                              </w:rPr>
                              <w:t>eg</w:t>
                            </w:r>
                            <w:proofErr w:type="spellEnd"/>
                            <w:r w:rsidRPr="00434FB2">
                              <w:rPr>
                                <w:sz w:val="20"/>
                                <w:lang w:val="en-US"/>
                              </w:rPr>
                              <w:t xml:space="preserve"> (TT </w:t>
                            </w:r>
                            <w:proofErr w:type="spellStart"/>
                            <w:r w:rsidRPr="00434FB2">
                              <w:rPr>
                                <w:sz w:val="20"/>
                                <w:lang w:val="en-US"/>
                              </w:rPr>
                              <w:t>Rockstars</w:t>
                            </w:r>
                            <w:proofErr w:type="spellEnd"/>
                            <w:r w:rsidRPr="00434FB2">
                              <w:rPr>
                                <w:sz w:val="20"/>
                                <w:lang w:val="en-US"/>
                              </w:rPr>
                              <w:t xml:space="preserve">, Oxford Owl and </w:t>
                            </w:r>
                            <w:proofErr w:type="spellStart"/>
                            <w:r w:rsidRPr="00434FB2">
                              <w:rPr>
                                <w:sz w:val="20"/>
                                <w:lang w:val="en-US"/>
                              </w:rPr>
                              <w:t>Numbots</w:t>
                            </w:r>
                            <w:proofErr w:type="spellEnd"/>
                            <w:r w:rsidRPr="00434FB2">
                              <w:rPr>
                                <w:sz w:val="20"/>
                                <w:lang w:val="en-US"/>
                              </w:rPr>
                              <w:t>)</w:t>
                            </w:r>
                          </w:p>
                          <w:p w:rsidR="00434FB2" w:rsidRPr="00434FB2" w:rsidRDefault="00434FB2" w:rsidP="00434FB2">
                            <w:pPr>
                              <w:rPr>
                                <w:sz w:val="20"/>
                                <w:lang w:val="en-US"/>
                              </w:rPr>
                            </w:pPr>
                            <w:r w:rsidRPr="00434FB2">
                              <w:rPr>
                                <w:sz w:val="20"/>
                                <w:lang w:val="en-US"/>
                              </w:rPr>
                              <w:t>Regular staff CPD on mental health and well being</w:t>
                            </w:r>
                          </w:p>
                          <w:p w:rsidR="00434FB2" w:rsidRPr="00434FB2" w:rsidRDefault="00434FB2" w:rsidP="00434FB2">
                            <w:pPr>
                              <w:rPr>
                                <w:sz w:val="20"/>
                                <w:lang w:val="en-US"/>
                              </w:rPr>
                            </w:pPr>
                            <w:r w:rsidRPr="00434FB2">
                              <w:rPr>
                                <w:sz w:val="20"/>
                                <w:lang w:val="en-US"/>
                              </w:rPr>
                              <w:t>Provide a suite of Home Learning activities for children required to be at home through Seesaw</w:t>
                            </w:r>
                          </w:p>
                          <w:p w:rsidR="00434FB2" w:rsidRPr="00434FB2" w:rsidRDefault="00434FB2" w:rsidP="00434FB2">
                            <w:pPr>
                              <w:rPr>
                                <w:sz w:val="20"/>
                                <w:lang w:val="en-US"/>
                              </w:rPr>
                            </w:pPr>
                            <w:r w:rsidRPr="00434FB2">
                              <w:rPr>
                                <w:sz w:val="20"/>
                                <w:lang w:val="en-US"/>
                              </w:rPr>
                              <w:t xml:space="preserve">EYFS focus on </w:t>
                            </w:r>
                            <w:proofErr w:type="spellStart"/>
                            <w:r w:rsidRPr="00434FB2">
                              <w:rPr>
                                <w:sz w:val="20"/>
                                <w:lang w:val="en-US"/>
                              </w:rPr>
                              <w:t>oracy</w:t>
                            </w:r>
                            <w:proofErr w:type="spellEnd"/>
                            <w:r w:rsidRPr="00434FB2">
                              <w:rPr>
                                <w:sz w:val="20"/>
                                <w:lang w:val="en-US"/>
                              </w:rPr>
                              <w:t xml:space="preserve"> and early language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48.15pt;width:190.5pt;height:3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" strokecolor="white [3212]">
                <v:textbox>
                  <w:txbxContent>
                    <w:p w:rsidR="00434FB2" w:rsidRPr="00434FB2" w:rsidRDefault="00434FB2" w:rsidP="00434FB2">
                      <w:pPr>
                        <w:rPr>
                          <w:sz w:val="20"/>
                          <w:lang w:val="en-US"/>
                        </w:rPr>
                      </w:pPr>
                      <w:r w:rsidRPr="00434FB2">
                        <w:rPr>
                          <w:sz w:val="20"/>
                          <w:lang w:val="en-US"/>
                        </w:rPr>
                        <w:t>Quality first teaching supported by evidence informed CPD for teachers and support staff</w:t>
                      </w:r>
                    </w:p>
                    <w:p w:rsidR="00434FB2" w:rsidRPr="00434FB2" w:rsidRDefault="00434FB2" w:rsidP="00434FB2">
                      <w:pPr>
                        <w:rPr>
                          <w:sz w:val="20"/>
                          <w:lang w:val="en-US"/>
                        </w:rPr>
                      </w:pPr>
                      <w:r w:rsidRPr="00434FB2">
                        <w:rPr>
                          <w:sz w:val="20"/>
                          <w:lang w:val="en-US"/>
                        </w:rPr>
                        <w:t>A broad and engaging curriculum that focuses on vocabulary acquisition</w:t>
                      </w:r>
                    </w:p>
                    <w:p w:rsidR="00434FB2" w:rsidRPr="00434FB2" w:rsidRDefault="00434FB2" w:rsidP="00434FB2">
                      <w:pPr>
                        <w:rPr>
                          <w:sz w:val="20"/>
                          <w:lang w:val="en-US"/>
                        </w:rPr>
                      </w:pPr>
                      <w:r w:rsidRPr="00434FB2">
                        <w:rPr>
                          <w:sz w:val="20"/>
                          <w:lang w:val="en-US"/>
                        </w:rPr>
                        <w:t>Knowledge and skills rich curriculum with teachers building on previous learning</w:t>
                      </w:r>
                    </w:p>
                    <w:p w:rsidR="00434FB2" w:rsidRPr="00434FB2" w:rsidRDefault="00434FB2" w:rsidP="00434FB2">
                      <w:pPr>
                        <w:rPr>
                          <w:sz w:val="20"/>
                          <w:lang w:val="en-US"/>
                        </w:rPr>
                      </w:pPr>
                      <w:r w:rsidRPr="00434FB2">
                        <w:rPr>
                          <w:sz w:val="20"/>
                          <w:lang w:val="en-US"/>
                        </w:rPr>
                        <w:t>Whole class Guided Reading sessions and Oxford Owl</w:t>
                      </w:r>
                    </w:p>
                    <w:p w:rsidR="00434FB2" w:rsidRPr="00434FB2" w:rsidRDefault="00434FB2" w:rsidP="00434FB2">
                      <w:pPr>
                        <w:rPr>
                          <w:sz w:val="20"/>
                          <w:lang w:val="en-US"/>
                        </w:rPr>
                      </w:pPr>
                      <w:r w:rsidRPr="00434FB2">
                        <w:rPr>
                          <w:sz w:val="20"/>
                          <w:lang w:val="en-US"/>
                        </w:rPr>
                        <w:t xml:space="preserve">Focus on key essentials for Reading, Writing and </w:t>
                      </w:r>
                      <w:proofErr w:type="spellStart"/>
                      <w:r w:rsidRPr="00434FB2">
                        <w:rPr>
                          <w:sz w:val="20"/>
                          <w:lang w:val="en-US"/>
                        </w:rPr>
                        <w:t>Maths</w:t>
                      </w:r>
                      <w:proofErr w:type="spellEnd"/>
                      <w:r w:rsidRPr="00434FB2">
                        <w:rPr>
                          <w:sz w:val="20"/>
                          <w:lang w:val="en-US"/>
                        </w:rPr>
                        <w:t xml:space="preserve">- online learning packages to support at home if required </w:t>
                      </w:r>
                      <w:proofErr w:type="spellStart"/>
                      <w:r w:rsidRPr="00434FB2">
                        <w:rPr>
                          <w:sz w:val="20"/>
                          <w:lang w:val="en-US"/>
                        </w:rPr>
                        <w:t>eg</w:t>
                      </w:r>
                      <w:proofErr w:type="spellEnd"/>
                      <w:r w:rsidRPr="00434FB2">
                        <w:rPr>
                          <w:sz w:val="20"/>
                          <w:lang w:val="en-US"/>
                        </w:rPr>
                        <w:t xml:space="preserve"> (TT </w:t>
                      </w:r>
                      <w:proofErr w:type="spellStart"/>
                      <w:r w:rsidRPr="00434FB2">
                        <w:rPr>
                          <w:sz w:val="20"/>
                          <w:lang w:val="en-US"/>
                        </w:rPr>
                        <w:t>Rockstars</w:t>
                      </w:r>
                      <w:proofErr w:type="spellEnd"/>
                      <w:r w:rsidRPr="00434FB2">
                        <w:rPr>
                          <w:sz w:val="20"/>
                          <w:lang w:val="en-US"/>
                        </w:rPr>
                        <w:t xml:space="preserve">, Oxford Owl and </w:t>
                      </w:r>
                      <w:proofErr w:type="spellStart"/>
                      <w:r w:rsidRPr="00434FB2">
                        <w:rPr>
                          <w:sz w:val="20"/>
                          <w:lang w:val="en-US"/>
                        </w:rPr>
                        <w:t>Numbots</w:t>
                      </w:r>
                      <w:proofErr w:type="spellEnd"/>
                      <w:r w:rsidRPr="00434FB2">
                        <w:rPr>
                          <w:sz w:val="20"/>
                          <w:lang w:val="en-US"/>
                        </w:rPr>
                        <w:t>)</w:t>
                      </w:r>
                    </w:p>
                    <w:p w:rsidR="00434FB2" w:rsidRPr="00434FB2" w:rsidRDefault="00434FB2" w:rsidP="00434FB2">
                      <w:pPr>
                        <w:rPr>
                          <w:sz w:val="20"/>
                          <w:lang w:val="en-US"/>
                        </w:rPr>
                      </w:pPr>
                      <w:r w:rsidRPr="00434FB2">
                        <w:rPr>
                          <w:sz w:val="20"/>
                          <w:lang w:val="en-US"/>
                        </w:rPr>
                        <w:t>Regular staff CPD on mental health and well being</w:t>
                      </w:r>
                    </w:p>
                    <w:p w:rsidR="00434FB2" w:rsidRPr="00434FB2" w:rsidRDefault="00434FB2" w:rsidP="00434FB2">
                      <w:pPr>
                        <w:rPr>
                          <w:sz w:val="20"/>
                          <w:lang w:val="en-US"/>
                        </w:rPr>
                      </w:pPr>
                      <w:r w:rsidRPr="00434FB2">
                        <w:rPr>
                          <w:sz w:val="20"/>
                          <w:lang w:val="en-US"/>
                        </w:rPr>
                        <w:t>Provide a suite of Home Learning activities for children required to be at home through Seesaw</w:t>
                      </w:r>
                    </w:p>
                    <w:p w:rsidR="00434FB2" w:rsidRPr="00434FB2" w:rsidRDefault="00434FB2" w:rsidP="00434FB2">
                      <w:pPr>
                        <w:rPr>
                          <w:sz w:val="20"/>
                          <w:lang w:val="en-US"/>
                        </w:rPr>
                      </w:pPr>
                      <w:r w:rsidRPr="00434FB2">
                        <w:rPr>
                          <w:sz w:val="20"/>
                          <w:lang w:val="en-US"/>
                        </w:rPr>
                        <w:t xml:space="preserve">EYFS focus on </w:t>
                      </w:r>
                      <w:proofErr w:type="spellStart"/>
                      <w:r w:rsidRPr="00434FB2">
                        <w:rPr>
                          <w:sz w:val="20"/>
                          <w:lang w:val="en-US"/>
                        </w:rPr>
                        <w:t>oracy</w:t>
                      </w:r>
                      <w:proofErr w:type="spellEnd"/>
                      <w:r w:rsidRPr="00434FB2">
                        <w:rPr>
                          <w:sz w:val="20"/>
                          <w:lang w:val="en-US"/>
                        </w:rPr>
                        <w:t xml:space="preserve"> and early language development</w:t>
                      </w:r>
                    </w:p>
                  </w:txbxContent>
                </v:textbox>
                <w10:wrap type="square"/>
              </v:shape>
            </w:pict>
          </mc:Fallback>
        </mc:AlternateContent>
      </w: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Pr="005C6577" w:rsidRDefault="005C6577" w:rsidP="005C6577">
      <w:pPr>
        <w:rPr>
          <w:sz w:val="40"/>
        </w:rPr>
      </w:pPr>
    </w:p>
    <w:p w:rsidR="005C6577" w:rsidRDefault="005C6577" w:rsidP="005C6577">
      <w:pPr>
        <w:rPr>
          <w:sz w:val="40"/>
        </w:rPr>
      </w:pPr>
    </w:p>
    <w:p w:rsidR="00434FB2" w:rsidRDefault="00434FB2" w:rsidP="005C6577">
      <w:pPr>
        <w:rPr>
          <w:sz w:val="40"/>
        </w:rPr>
      </w:pPr>
    </w:p>
    <w:tbl>
      <w:tblPr>
        <w:tblStyle w:val="TableGrid"/>
        <w:tblW w:w="0" w:type="auto"/>
        <w:tblLook w:val="04A0" w:firstRow="1" w:lastRow="0" w:firstColumn="1" w:lastColumn="0" w:noHBand="0" w:noVBand="1"/>
      </w:tblPr>
      <w:tblGrid>
        <w:gridCol w:w="1696"/>
        <w:gridCol w:w="13692"/>
      </w:tblGrid>
      <w:tr w:rsidR="00285B51" w:rsidTr="00E52989">
        <w:tc>
          <w:tcPr>
            <w:tcW w:w="15388" w:type="dxa"/>
            <w:gridSpan w:val="2"/>
            <w:shd w:val="clear" w:color="auto" w:fill="8EAADB" w:themeFill="accent1" w:themeFillTint="99"/>
          </w:tcPr>
          <w:p w:rsidR="00285B51" w:rsidRPr="003E5D41" w:rsidRDefault="00285B51" w:rsidP="00285B51">
            <w:pPr>
              <w:jc w:val="center"/>
              <w:rPr>
                <w:b/>
                <w:sz w:val="32"/>
                <w:szCs w:val="32"/>
              </w:rPr>
            </w:pPr>
            <w:r w:rsidRPr="003E5D41">
              <w:rPr>
                <w:b/>
                <w:sz w:val="32"/>
                <w:szCs w:val="32"/>
              </w:rPr>
              <w:lastRenderedPageBreak/>
              <w:t>Identified impact of lockdown</w:t>
            </w:r>
          </w:p>
          <w:p w:rsidR="003E5D41" w:rsidRPr="00285B51" w:rsidRDefault="003E5D41" w:rsidP="003E5D41">
            <w:pPr>
              <w:ind w:left="720" w:hanging="720"/>
              <w:jc w:val="center"/>
              <w:rPr>
                <w:b/>
                <w:sz w:val="40"/>
              </w:rPr>
            </w:pPr>
            <w:r w:rsidRPr="003E5D41">
              <w:rPr>
                <w:b/>
              </w:rPr>
              <w:t>The following has been identified through teacher consultations, baseline assessments,</w:t>
            </w:r>
            <w:r>
              <w:rPr>
                <w:b/>
              </w:rPr>
              <w:t xml:space="preserve"> Target Data and blended learning submitted through the most recent lockdown</w:t>
            </w:r>
          </w:p>
        </w:tc>
      </w:tr>
      <w:tr w:rsidR="00285B51" w:rsidTr="00285B51">
        <w:tc>
          <w:tcPr>
            <w:tcW w:w="1696" w:type="dxa"/>
          </w:tcPr>
          <w:p w:rsidR="00285B51" w:rsidRPr="00285B51" w:rsidRDefault="00285B51" w:rsidP="00285B51">
            <w:pPr>
              <w:jc w:val="center"/>
              <w:rPr>
                <w:b/>
                <w:sz w:val="24"/>
              </w:rPr>
            </w:pPr>
            <w:r>
              <w:rPr>
                <w:b/>
                <w:sz w:val="24"/>
              </w:rPr>
              <w:t>Maths</w:t>
            </w:r>
          </w:p>
        </w:tc>
        <w:tc>
          <w:tcPr>
            <w:tcW w:w="13692" w:type="dxa"/>
          </w:tcPr>
          <w:p w:rsidR="00285B51" w:rsidRPr="00285B51" w:rsidRDefault="00285B51" w:rsidP="005C6577">
            <w:pPr>
              <w:rPr>
                <w:sz w:val="24"/>
              </w:rPr>
            </w:pPr>
            <w:r>
              <w:rPr>
                <w:sz w:val="24"/>
              </w:rPr>
              <w:t>Specific content has been missed, leading to gaps in learning and stalled sequencing of the progression of skills. Children still enjoy maths and lockdown has not affected their attitude</w:t>
            </w:r>
            <w:r w:rsidR="00CC29EC">
              <w:rPr>
                <w:sz w:val="24"/>
              </w:rPr>
              <w:t>,</w:t>
            </w:r>
            <w:r>
              <w:rPr>
                <w:sz w:val="24"/>
              </w:rPr>
              <w:t xml:space="preserve"> however</w:t>
            </w:r>
            <w:r w:rsidR="00CC29EC">
              <w:rPr>
                <w:sz w:val="24"/>
              </w:rPr>
              <w:t>,</w:t>
            </w:r>
            <w:r>
              <w:rPr>
                <w:sz w:val="24"/>
              </w:rPr>
              <w:t xml:space="preserve"> they are simply not at the points we would hope for them to be currently. This has been identified in our Reintroduction Baseline Assessments. Recall of basic skills have suffered- </w:t>
            </w:r>
            <w:r w:rsidR="00CC29EC">
              <w:rPr>
                <w:sz w:val="24"/>
              </w:rPr>
              <w:t xml:space="preserve">some </w:t>
            </w:r>
            <w:r>
              <w:rPr>
                <w:sz w:val="24"/>
              </w:rPr>
              <w:t xml:space="preserve">children are not able to recall addition facts, times tables and have forgotten calculation strategies that were clear before the National lockdown. This was reflected in the arithmetic assessments. Many </w:t>
            </w:r>
            <w:r w:rsidR="00CC29EC">
              <w:rPr>
                <w:sz w:val="24"/>
              </w:rPr>
              <w:t>children</w:t>
            </w:r>
            <w:r>
              <w:rPr>
                <w:sz w:val="24"/>
              </w:rPr>
              <w:t xml:space="preserve"> accessed a large percentage of the home learning maths available through Seesaw, but this is not the same as quality first teaching in the classroom. </w:t>
            </w:r>
          </w:p>
        </w:tc>
      </w:tr>
      <w:tr w:rsidR="00285B51" w:rsidTr="00285B51">
        <w:tc>
          <w:tcPr>
            <w:tcW w:w="1696" w:type="dxa"/>
          </w:tcPr>
          <w:p w:rsidR="00285B51" w:rsidRPr="00285B51" w:rsidRDefault="00285B51" w:rsidP="00285B51">
            <w:pPr>
              <w:jc w:val="center"/>
              <w:rPr>
                <w:b/>
                <w:sz w:val="24"/>
              </w:rPr>
            </w:pPr>
            <w:r>
              <w:rPr>
                <w:b/>
                <w:sz w:val="24"/>
              </w:rPr>
              <w:t>Writing</w:t>
            </w:r>
          </w:p>
        </w:tc>
        <w:tc>
          <w:tcPr>
            <w:tcW w:w="13692" w:type="dxa"/>
          </w:tcPr>
          <w:p w:rsidR="00285B51" w:rsidRPr="00285B51" w:rsidRDefault="00285B51" w:rsidP="005C6577">
            <w:pPr>
              <w:rPr>
                <w:sz w:val="24"/>
              </w:rPr>
            </w:pPr>
            <w:r>
              <w:rPr>
                <w:sz w:val="24"/>
              </w:rPr>
              <w:t>Children have not missed whole units of writing in the same way they have in maths, however they have lost essential practising of writing skills.</w:t>
            </w:r>
            <w:r w:rsidR="003E5D41">
              <w:rPr>
                <w:sz w:val="24"/>
              </w:rPr>
              <w:t xml:space="preserve"> </w:t>
            </w:r>
            <w:r>
              <w:rPr>
                <w:sz w:val="24"/>
              </w:rPr>
              <w:t xml:space="preserve">GPS specific knowledge has dropped, leading to a lack of fluency in writing. Writing stamina on the whole has also been affected. Those who have maintained their writing through lockdown have been less affected, however those who did not write much while at home have had to work additionally hard to try and regain the level they were at prior to lockdown. Some children have also showed a lack of motivation for </w:t>
            </w:r>
            <w:r w:rsidR="003E5D41">
              <w:rPr>
                <w:sz w:val="24"/>
              </w:rPr>
              <w:t>w</w:t>
            </w:r>
            <w:r>
              <w:rPr>
                <w:sz w:val="24"/>
              </w:rPr>
              <w:t xml:space="preserve">riting since lockdown, this is not helped by a lack of fluency which makes it harder for them to complete. </w:t>
            </w:r>
          </w:p>
        </w:tc>
      </w:tr>
      <w:tr w:rsidR="00285B51" w:rsidTr="00285B51">
        <w:tc>
          <w:tcPr>
            <w:tcW w:w="1696" w:type="dxa"/>
          </w:tcPr>
          <w:p w:rsidR="00285B51" w:rsidRPr="00285B51" w:rsidRDefault="00285B51" w:rsidP="00285B51">
            <w:pPr>
              <w:jc w:val="center"/>
              <w:rPr>
                <w:b/>
                <w:sz w:val="24"/>
              </w:rPr>
            </w:pPr>
            <w:r>
              <w:rPr>
                <w:b/>
                <w:sz w:val="24"/>
              </w:rPr>
              <w:t>Reading</w:t>
            </w:r>
          </w:p>
        </w:tc>
        <w:tc>
          <w:tcPr>
            <w:tcW w:w="13692" w:type="dxa"/>
          </w:tcPr>
          <w:p w:rsidR="00285B51" w:rsidRPr="00285B51" w:rsidRDefault="003E5D41" w:rsidP="005C6577">
            <w:pPr>
              <w:rPr>
                <w:sz w:val="24"/>
              </w:rPr>
            </w:pPr>
            <w:r>
              <w:rPr>
                <w:sz w:val="24"/>
              </w:rPr>
              <w:t>Children’s</w:t>
            </w:r>
            <w:r w:rsidR="000A2EA2">
              <w:rPr>
                <w:sz w:val="24"/>
              </w:rPr>
              <w:t xml:space="preserve"> </w:t>
            </w:r>
            <w:r>
              <w:rPr>
                <w:sz w:val="24"/>
              </w:rPr>
              <w:t>r</w:t>
            </w:r>
            <w:r w:rsidR="000A2EA2">
              <w:rPr>
                <w:sz w:val="24"/>
              </w:rPr>
              <w:t>eading during lockdown seems to be the least affected, children had access to good quality Guided Reading sessions as well as digital books through Oxford Owl. That being said</w:t>
            </w:r>
            <w:r>
              <w:rPr>
                <w:sz w:val="24"/>
              </w:rPr>
              <w:t>,</w:t>
            </w:r>
            <w:r w:rsidR="000A2EA2">
              <w:rPr>
                <w:sz w:val="24"/>
              </w:rPr>
              <w:t xml:space="preserve"> children are now less fluent than they were before and the gap between those who read widely at home and those who do not is now bigger than before. </w:t>
            </w:r>
          </w:p>
        </w:tc>
      </w:tr>
      <w:tr w:rsidR="00285B51" w:rsidTr="00285B51">
        <w:tc>
          <w:tcPr>
            <w:tcW w:w="1696" w:type="dxa"/>
          </w:tcPr>
          <w:p w:rsidR="00285B51" w:rsidRPr="00285B51" w:rsidRDefault="00285B51" w:rsidP="00285B51">
            <w:pPr>
              <w:jc w:val="center"/>
              <w:rPr>
                <w:b/>
                <w:sz w:val="24"/>
              </w:rPr>
            </w:pPr>
            <w:r>
              <w:rPr>
                <w:b/>
                <w:sz w:val="24"/>
              </w:rPr>
              <w:t>Non-core</w:t>
            </w:r>
          </w:p>
        </w:tc>
        <w:tc>
          <w:tcPr>
            <w:tcW w:w="13692" w:type="dxa"/>
          </w:tcPr>
          <w:p w:rsidR="00285B51" w:rsidRPr="00285B51" w:rsidRDefault="000A2EA2" w:rsidP="005C6577">
            <w:pPr>
              <w:rPr>
                <w:sz w:val="24"/>
              </w:rPr>
            </w:pPr>
            <w:r>
              <w:rPr>
                <w:sz w:val="24"/>
              </w:rPr>
              <w:t>There are now significant gaps in knowledge through topics that simply could not be taught whil</w:t>
            </w:r>
            <w:r w:rsidR="003E5D41">
              <w:rPr>
                <w:sz w:val="24"/>
              </w:rPr>
              <w:t>st</w:t>
            </w:r>
            <w:r>
              <w:rPr>
                <w:sz w:val="24"/>
              </w:rPr>
              <w:t xml:space="preserve"> the children were at home. Whole units of work have been missed in all </w:t>
            </w:r>
            <w:r w:rsidR="003E5D41">
              <w:rPr>
                <w:sz w:val="24"/>
              </w:rPr>
              <w:t>year groups</w:t>
            </w:r>
            <w:r>
              <w:rPr>
                <w:sz w:val="24"/>
              </w:rPr>
              <w:t xml:space="preserve"> and this will need to be addressed as the children move through the school. This means that a lot of the </w:t>
            </w:r>
            <w:r w:rsidR="003E5D41">
              <w:rPr>
                <w:sz w:val="24"/>
              </w:rPr>
              <w:t xml:space="preserve">existing </w:t>
            </w:r>
            <w:r>
              <w:rPr>
                <w:sz w:val="24"/>
              </w:rPr>
              <w:t>knowledge that children would have had when starting a topic</w:t>
            </w:r>
            <w:r w:rsidR="003E5D41">
              <w:rPr>
                <w:sz w:val="24"/>
              </w:rPr>
              <w:t>,</w:t>
            </w:r>
            <w:r>
              <w:rPr>
                <w:sz w:val="24"/>
              </w:rPr>
              <w:t xml:space="preserve"> is missing and therefore the children </w:t>
            </w:r>
            <w:r w:rsidR="003E5D41">
              <w:rPr>
                <w:sz w:val="24"/>
              </w:rPr>
              <w:t>may</w:t>
            </w:r>
            <w:r>
              <w:rPr>
                <w:sz w:val="24"/>
              </w:rPr>
              <w:t xml:space="preserve"> struggle to make connections </w:t>
            </w:r>
            <w:r w:rsidR="003E5D41">
              <w:rPr>
                <w:sz w:val="24"/>
              </w:rPr>
              <w:t>within their learning</w:t>
            </w:r>
            <w:r>
              <w:rPr>
                <w:sz w:val="24"/>
              </w:rPr>
              <w:t xml:space="preserve">. The children have also missed out on a vast amount of cultural capital and curriculum experience, including; trips, school visitors and wow curriculum moments. </w:t>
            </w:r>
          </w:p>
        </w:tc>
      </w:tr>
    </w:tbl>
    <w:p w:rsidR="005C6577" w:rsidRDefault="005C6577" w:rsidP="005C6577">
      <w:pPr>
        <w:rPr>
          <w:sz w:val="40"/>
        </w:rPr>
      </w:pPr>
    </w:p>
    <w:tbl>
      <w:tblPr>
        <w:tblStyle w:val="TableGrid"/>
        <w:tblW w:w="0" w:type="auto"/>
        <w:tblLook w:val="04A0" w:firstRow="1" w:lastRow="0" w:firstColumn="1" w:lastColumn="0" w:noHBand="0" w:noVBand="1"/>
      </w:tblPr>
      <w:tblGrid>
        <w:gridCol w:w="4673"/>
        <w:gridCol w:w="4961"/>
        <w:gridCol w:w="3119"/>
        <w:gridCol w:w="1276"/>
        <w:gridCol w:w="1359"/>
      </w:tblGrid>
      <w:tr w:rsidR="00B373BE" w:rsidTr="00B373BE">
        <w:tc>
          <w:tcPr>
            <w:tcW w:w="15388" w:type="dxa"/>
            <w:gridSpan w:val="5"/>
            <w:shd w:val="clear" w:color="auto" w:fill="8EAADB" w:themeFill="accent1" w:themeFillTint="99"/>
          </w:tcPr>
          <w:p w:rsidR="00B373BE" w:rsidRPr="00B373BE" w:rsidRDefault="00B373BE" w:rsidP="00B373BE">
            <w:pPr>
              <w:jc w:val="center"/>
              <w:rPr>
                <w:b/>
                <w:sz w:val="24"/>
              </w:rPr>
            </w:pPr>
            <w:r>
              <w:rPr>
                <w:b/>
                <w:sz w:val="32"/>
              </w:rPr>
              <w:t>Planned expenditure</w:t>
            </w:r>
          </w:p>
        </w:tc>
      </w:tr>
      <w:tr w:rsidR="00B373BE" w:rsidTr="00172DE4">
        <w:tc>
          <w:tcPr>
            <w:tcW w:w="15388" w:type="dxa"/>
            <w:gridSpan w:val="5"/>
          </w:tcPr>
          <w:p w:rsidR="00B373BE" w:rsidRPr="00B373BE" w:rsidRDefault="00B373BE" w:rsidP="005C6577">
            <w:pPr>
              <w:rPr>
                <w:b/>
                <w:sz w:val="32"/>
              </w:rPr>
            </w:pPr>
            <w:r>
              <w:rPr>
                <w:b/>
                <w:sz w:val="32"/>
              </w:rPr>
              <w:t>1, Teaching and whole- school strategies</w:t>
            </w:r>
          </w:p>
        </w:tc>
      </w:tr>
      <w:tr w:rsidR="00B373BE" w:rsidTr="00B373BE">
        <w:tc>
          <w:tcPr>
            <w:tcW w:w="4673" w:type="dxa"/>
          </w:tcPr>
          <w:p w:rsidR="00B373BE" w:rsidRPr="00B373BE" w:rsidRDefault="00B373BE" w:rsidP="00B373BE">
            <w:pPr>
              <w:jc w:val="center"/>
              <w:rPr>
                <w:b/>
                <w:sz w:val="24"/>
              </w:rPr>
            </w:pPr>
            <w:r>
              <w:rPr>
                <w:b/>
                <w:sz w:val="24"/>
              </w:rPr>
              <w:t>Desired outcome</w:t>
            </w:r>
          </w:p>
        </w:tc>
        <w:tc>
          <w:tcPr>
            <w:tcW w:w="4961" w:type="dxa"/>
          </w:tcPr>
          <w:p w:rsidR="00B373BE" w:rsidRPr="00B373BE" w:rsidRDefault="00B373BE" w:rsidP="00B373BE">
            <w:pPr>
              <w:jc w:val="center"/>
              <w:rPr>
                <w:b/>
                <w:sz w:val="24"/>
              </w:rPr>
            </w:pPr>
            <w:r>
              <w:rPr>
                <w:b/>
                <w:sz w:val="24"/>
              </w:rPr>
              <w:t>Chosen approach and anticipated cost</w:t>
            </w:r>
          </w:p>
        </w:tc>
        <w:tc>
          <w:tcPr>
            <w:tcW w:w="3119" w:type="dxa"/>
          </w:tcPr>
          <w:p w:rsidR="00B373BE" w:rsidRPr="00B373BE" w:rsidRDefault="00B373BE" w:rsidP="00B373BE">
            <w:pPr>
              <w:jc w:val="center"/>
              <w:rPr>
                <w:b/>
                <w:sz w:val="24"/>
              </w:rPr>
            </w:pPr>
            <w:r>
              <w:rPr>
                <w:b/>
                <w:sz w:val="24"/>
              </w:rPr>
              <w:t xml:space="preserve">Impact (once reviewed) </w:t>
            </w:r>
          </w:p>
        </w:tc>
        <w:tc>
          <w:tcPr>
            <w:tcW w:w="1276" w:type="dxa"/>
          </w:tcPr>
          <w:p w:rsidR="00B373BE" w:rsidRPr="00B373BE" w:rsidRDefault="00B373BE" w:rsidP="00B373BE">
            <w:pPr>
              <w:jc w:val="center"/>
              <w:rPr>
                <w:b/>
                <w:sz w:val="24"/>
              </w:rPr>
            </w:pPr>
            <w:r>
              <w:rPr>
                <w:b/>
                <w:sz w:val="24"/>
              </w:rPr>
              <w:t>Staff lead</w:t>
            </w:r>
          </w:p>
        </w:tc>
        <w:tc>
          <w:tcPr>
            <w:tcW w:w="1359" w:type="dxa"/>
          </w:tcPr>
          <w:p w:rsidR="00B373BE" w:rsidRPr="00B373BE" w:rsidRDefault="00B373BE" w:rsidP="00B373BE">
            <w:pPr>
              <w:jc w:val="center"/>
              <w:rPr>
                <w:b/>
                <w:sz w:val="24"/>
              </w:rPr>
            </w:pPr>
            <w:r>
              <w:rPr>
                <w:b/>
                <w:sz w:val="24"/>
              </w:rPr>
              <w:t>Review date</w:t>
            </w:r>
          </w:p>
        </w:tc>
      </w:tr>
      <w:tr w:rsidR="00B373BE" w:rsidTr="00B373BE">
        <w:tc>
          <w:tcPr>
            <w:tcW w:w="4673" w:type="dxa"/>
          </w:tcPr>
          <w:p w:rsidR="00B373BE" w:rsidRDefault="00B373BE" w:rsidP="005C6577">
            <w:pPr>
              <w:rPr>
                <w:sz w:val="24"/>
                <w:u w:val="single"/>
              </w:rPr>
            </w:pPr>
            <w:r>
              <w:rPr>
                <w:sz w:val="24"/>
                <w:u w:val="single"/>
              </w:rPr>
              <w:t>Teaching assessment and feedback:</w:t>
            </w:r>
          </w:p>
          <w:p w:rsidR="00B373BE" w:rsidRDefault="00B373BE" w:rsidP="005C6577">
            <w:pPr>
              <w:rPr>
                <w:sz w:val="24"/>
                <w:u w:val="single"/>
              </w:rPr>
            </w:pPr>
          </w:p>
          <w:p w:rsidR="00B373BE" w:rsidRPr="00B373BE" w:rsidRDefault="00B373BE" w:rsidP="005C6577">
            <w:pPr>
              <w:rPr>
                <w:sz w:val="24"/>
              </w:rPr>
            </w:pPr>
            <w:r w:rsidRPr="00B373BE">
              <w:rPr>
                <w:sz w:val="24"/>
              </w:rPr>
              <w:t xml:space="preserve">Teachers have a very clear understanding of what gaps in learning remain and use this to inform assessments of learning that are </w:t>
            </w:r>
            <w:r w:rsidRPr="00B373BE">
              <w:rPr>
                <w:sz w:val="24"/>
              </w:rPr>
              <w:lastRenderedPageBreak/>
              <w:t>aligned with standardised norms, giving a greater degree of confidence and accuracy to assessments</w:t>
            </w:r>
          </w:p>
          <w:p w:rsidR="00B373BE" w:rsidRPr="00B373BE" w:rsidRDefault="00B373BE" w:rsidP="005C6577">
            <w:pPr>
              <w:rPr>
                <w:sz w:val="24"/>
                <w:u w:val="single"/>
              </w:rPr>
            </w:pPr>
          </w:p>
        </w:tc>
        <w:tc>
          <w:tcPr>
            <w:tcW w:w="4961" w:type="dxa"/>
          </w:tcPr>
          <w:p w:rsidR="0010149B" w:rsidRDefault="0010149B" w:rsidP="005C6577">
            <w:pPr>
              <w:rPr>
                <w:sz w:val="24"/>
              </w:rPr>
            </w:pPr>
          </w:p>
          <w:p w:rsidR="0010149B" w:rsidRDefault="0010149B" w:rsidP="005C6577">
            <w:pPr>
              <w:rPr>
                <w:sz w:val="24"/>
              </w:rPr>
            </w:pPr>
          </w:p>
          <w:p w:rsidR="00B373BE" w:rsidRDefault="00B373BE" w:rsidP="005C6577">
            <w:pPr>
              <w:rPr>
                <w:sz w:val="24"/>
              </w:rPr>
            </w:pPr>
            <w:r>
              <w:rPr>
                <w:sz w:val="24"/>
              </w:rPr>
              <w:t xml:space="preserve">To use the bank of year group specific assessments already in place for the periodic assessment of the children. (baseline </w:t>
            </w:r>
            <w:r>
              <w:rPr>
                <w:sz w:val="24"/>
              </w:rPr>
              <w:lastRenderedPageBreak/>
              <w:t>assessments to be completed with the previous end of year test)</w:t>
            </w:r>
            <w:r w:rsidR="003E5D41">
              <w:rPr>
                <w:sz w:val="24"/>
              </w:rPr>
              <w:t>.</w:t>
            </w:r>
          </w:p>
          <w:p w:rsidR="003E5D41" w:rsidRDefault="003E5D41" w:rsidP="005C6577">
            <w:pPr>
              <w:rPr>
                <w:sz w:val="24"/>
              </w:rPr>
            </w:pPr>
          </w:p>
          <w:p w:rsidR="003E5D41" w:rsidRDefault="00B373BE" w:rsidP="005C6577">
            <w:pPr>
              <w:rPr>
                <w:sz w:val="24"/>
              </w:rPr>
            </w:pPr>
            <w:r>
              <w:rPr>
                <w:sz w:val="24"/>
              </w:rPr>
              <w:t>Complete termly sets of data on Target tracker using all available graphs to analyse this data.</w:t>
            </w:r>
          </w:p>
          <w:p w:rsidR="00B373BE" w:rsidRDefault="00B373BE" w:rsidP="005C6577">
            <w:pPr>
              <w:rPr>
                <w:sz w:val="24"/>
              </w:rPr>
            </w:pPr>
            <w:r>
              <w:rPr>
                <w:sz w:val="24"/>
              </w:rPr>
              <w:t xml:space="preserve"> </w:t>
            </w:r>
          </w:p>
          <w:p w:rsidR="00B373BE" w:rsidRDefault="00B373BE" w:rsidP="005C6577">
            <w:pPr>
              <w:rPr>
                <w:sz w:val="24"/>
              </w:rPr>
            </w:pPr>
            <w:r>
              <w:rPr>
                <w:sz w:val="24"/>
              </w:rPr>
              <w:t xml:space="preserve">To complete a pupil progress meeting at the end of each term. </w:t>
            </w:r>
          </w:p>
          <w:p w:rsidR="00B373BE" w:rsidRDefault="00B373BE" w:rsidP="005C6577">
            <w:pPr>
              <w:rPr>
                <w:sz w:val="24"/>
              </w:rPr>
            </w:pPr>
          </w:p>
          <w:p w:rsidR="00B373BE" w:rsidRPr="00B373BE" w:rsidRDefault="00B373BE" w:rsidP="0010149B">
            <w:pPr>
              <w:jc w:val="right"/>
              <w:rPr>
                <w:sz w:val="24"/>
              </w:rPr>
            </w:pPr>
            <w:r w:rsidRPr="00B373BE">
              <w:rPr>
                <w:color w:val="FF0000"/>
                <w:sz w:val="24"/>
              </w:rPr>
              <w:t>(£0 cost from Catch up budget)</w:t>
            </w:r>
          </w:p>
        </w:tc>
        <w:tc>
          <w:tcPr>
            <w:tcW w:w="3119" w:type="dxa"/>
          </w:tcPr>
          <w:p w:rsidR="00B373BE" w:rsidRPr="00B373BE" w:rsidRDefault="00B373BE" w:rsidP="005C6577">
            <w:pPr>
              <w:rPr>
                <w:sz w:val="24"/>
              </w:rPr>
            </w:pPr>
          </w:p>
        </w:tc>
        <w:tc>
          <w:tcPr>
            <w:tcW w:w="1276" w:type="dxa"/>
          </w:tcPr>
          <w:p w:rsidR="00B373BE" w:rsidRPr="00B373BE" w:rsidRDefault="00B373BE" w:rsidP="005C6577">
            <w:pPr>
              <w:rPr>
                <w:sz w:val="24"/>
              </w:rPr>
            </w:pPr>
            <w:r>
              <w:rPr>
                <w:sz w:val="24"/>
              </w:rPr>
              <w:t>MN/ RL</w:t>
            </w:r>
          </w:p>
        </w:tc>
        <w:tc>
          <w:tcPr>
            <w:tcW w:w="1359" w:type="dxa"/>
          </w:tcPr>
          <w:p w:rsidR="00B373BE" w:rsidRPr="00B373BE" w:rsidRDefault="00B373BE" w:rsidP="005C6577">
            <w:pPr>
              <w:rPr>
                <w:sz w:val="24"/>
              </w:rPr>
            </w:pPr>
            <w:r>
              <w:rPr>
                <w:sz w:val="24"/>
              </w:rPr>
              <w:t>Termly</w:t>
            </w:r>
          </w:p>
        </w:tc>
      </w:tr>
      <w:tr w:rsidR="00E61852" w:rsidTr="00ED5D20">
        <w:tc>
          <w:tcPr>
            <w:tcW w:w="14029" w:type="dxa"/>
            <w:gridSpan w:val="4"/>
          </w:tcPr>
          <w:p w:rsidR="00E61852" w:rsidRPr="00B373BE" w:rsidRDefault="00E61852" w:rsidP="00E61852">
            <w:pPr>
              <w:jc w:val="right"/>
              <w:rPr>
                <w:sz w:val="24"/>
              </w:rPr>
            </w:pPr>
            <w:r w:rsidRPr="00E61852">
              <w:rPr>
                <w:color w:val="FF0000"/>
                <w:sz w:val="24"/>
              </w:rPr>
              <w:t>Total budgeted cost from catch up budget</w:t>
            </w:r>
          </w:p>
        </w:tc>
        <w:tc>
          <w:tcPr>
            <w:tcW w:w="1359" w:type="dxa"/>
          </w:tcPr>
          <w:p w:rsidR="00E61852" w:rsidRPr="00E61852" w:rsidRDefault="00E61852" w:rsidP="005C6577">
            <w:pPr>
              <w:rPr>
                <w:color w:val="FF0000"/>
                <w:sz w:val="24"/>
              </w:rPr>
            </w:pPr>
            <w:r>
              <w:rPr>
                <w:color w:val="FF0000"/>
                <w:sz w:val="24"/>
              </w:rPr>
              <w:t>£0</w:t>
            </w:r>
          </w:p>
        </w:tc>
      </w:tr>
      <w:tr w:rsidR="006C6991" w:rsidTr="008B3D9B">
        <w:tc>
          <w:tcPr>
            <w:tcW w:w="15388" w:type="dxa"/>
            <w:gridSpan w:val="5"/>
          </w:tcPr>
          <w:p w:rsidR="006C6991" w:rsidRPr="006C6991" w:rsidRDefault="006C6991" w:rsidP="005C6577">
            <w:pPr>
              <w:rPr>
                <w:b/>
                <w:sz w:val="32"/>
              </w:rPr>
            </w:pPr>
            <w:r>
              <w:rPr>
                <w:b/>
                <w:sz w:val="32"/>
              </w:rPr>
              <w:t>2, Targeted approaches</w:t>
            </w:r>
          </w:p>
        </w:tc>
      </w:tr>
      <w:tr w:rsidR="006C6991" w:rsidTr="00B373BE">
        <w:tc>
          <w:tcPr>
            <w:tcW w:w="4673" w:type="dxa"/>
          </w:tcPr>
          <w:p w:rsidR="006C6991" w:rsidRPr="00B373BE" w:rsidRDefault="006C6991" w:rsidP="006C6991">
            <w:pPr>
              <w:jc w:val="center"/>
              <w:rPr>
                <w:b/>
                <w:sz w:val="24"/>
              </w:rPr>
            </w:pPr>
            <w:r>
              <w:rPr>
                <w:b/>
                <w:sz w:val="24"/>
              </w:rPr>
              <w:t>Desired outcome</w:t>
            </w:r>
          </w:p>
        </w:tc>
        <w:tc>
          <w:tcPr>
            <w:tcW w:w="4961" w:type="dxa"/>
          </w:tcPr>
          <w:p w:rsidR="006C6991" w:rsidRPr="00B373BE" w:rsidRDefault="006C6991" w:rsidP="006C6991">
            <w:pPr>
              <w:jc w:val="center"/>
              <w:rPr>
                <w:b/>
                <w:sz w:val="24"/>
              </w:rPr>
            </w:pPr>
            <w:r>
              <w:rPr>
                <w:b/>
                <w:sz w:val="24"/>
              </w:rPr>
              <w:t>Chosen approach and anticipated cost</w:t>
            </w:r>
          </w:p>
        </w:tc>
        <w:tc>
          <w:tcPr>
            <w:tcW w:w="3119" w:type="dxa"/>
          </w:tcPr>
          <w:p w:rsidR="006C6991" w:rsidRPr="00B373BE" w:rsidRDefault="006C6991" w:rsidP="006C6991">
            <w:pPr>
              <w:jc w:val="center"/>
              <w:rPr>
                <w:b/>
                <w:sz w:val="24"/>
              </w:rPr>
            </w:pPr>
            <w:r>
              <w:rPr>
                <w:b/>
                <w:sz w:val="24"/>
              </w:rPr>
              <w:t xml:space="preserve">Impact (once reviewed) </w:t>
            </w:r>
          </w:p>
        </w:tc>
        <w:tc>
          <w:tcPr>
            <w:tcW w:w="1276" w:type="dxa"/>
          </w:tcPr>
          <w:p w:rsidR="006C6991" w:rsidRPr="00B373BE" w:rsidRDefault="006C6991" w:rsidP="006C6991">
            <w:pPr>
              <w:jc w:val="center"/>
              <w:rPr>
                <w:b/>
                <w:sz w:val="24"/>
              </w:rPr>
            </w:pPr>
            <w:r>
              <w:rPr>
                <w:b/>
                <w:sz w:val="24"/>
              </w:rPr>
              <w:t>Staff lead</w:t>
            </w:r>
          </w:p>
        </w:tc>
        <w:tc>
          <w:tcPr>
            <w:tcW w:w="1359" w:type="dxa"/>
          </w:tcPr>
          <w:p w:rsidR="006C6991" w:rsidRPr="00B373BE" w:rsidRDefault="006C6991" w:rsidP="006C6991">
            <w:pPr>
              <w:jc w:val="center"/>
              <w:rPr>
                <w:b/>
                <w:sz w:val="24"/>
              </w:rPr>
            </w:pPr>
            <w:r>
              <w:rPr>
                <w:b/>
                <w:sz w:val="24"/>
              </w:rPr>
              <w:t>Review date</w:t>
            </w:r>
          </w:p>
        </w:tc>
      </w:tr>
      <w:tr w:rsidR="006C6991" w:rsidTr="00B373BE">
        <w:tc>
          <w:tcPr>
            <w:tcW w:w="4673" w:type="dxa"/>
          </w:tcPr>
          <w:p w:rsidR="006C6991" w:rsidRDefault="006C6991" w:rsidP="005C6577">
            <w:pPr>
              <w:rPr>
                <w:sz w:val="24"/>
                <w:u w:val="single"/>
              </w:rPr>
            </w:pPr>
            <w:r>
              <w:rPr>
                <w:sz w:val="24"/>
                <w:u w:val="single"/>
              </w:rPr>
              <w:t>1 to 1 and small group tuition:</w:t>
            </w:r>
          </w:p>
          <w:p w:rsidR="00D723E7" w:rsidRDefault="00D723E7" w:rsidP="005C6577">
            <w:pPr>
              <w:rPr>
                <w:sz w:val="24"/>
                <w:u w:val="single"/>
              </w:rPr>
            </w:pPr>
          </w:p>
          <w:p w:rsidR="00D723E7" w:rsidRPr="00D723E7" w:rsidRDefault="00D723E7" w:rsidP="005C6577">
            <w:pPr>
              <w:rPr>
                <w:sz w:val="24"/>
              </w:rPr>
            </w:pPr>
            <w:r>
              <w:rPr>
                <w:sz w:val="24"/>
              </w:rPr>
              <w:t xml:space="preserve">To ensure that children who are registered as Pupil Premium or EAL have the opportunity to work with an intervention member of staff to try and aid the process of closing the gaps between them and their peers. </w:t>
            </w:r>
          </w:p>
          <w:p w:rsidR="006C6991" w:rsidRDefault="006C6991" w:rsidP="005C6577">
            <w:pPr>
              <w:rPr>
                <w:sz w:val="24"/>
                <w:u w:val="single"/>
              </w:rPr>
            </w:pPr>
          </w:p>
          <w:p w:rsidR="006C6991" w:rsidRDefault="006C6991" w:rsidP="005C6577">
            <w:pPr>
              <w:rPr>
                <w:sz w:val="24"/>
                <w:u w:val="single"/>
              </w:rPr>
            </w:pPr>
          </w:p>
        </w:tc>
        <w:tc>
          <w:tcPr>
            <w:tcW w:w="4961" w:type="dxa"/>
          </w:tcPr>
          <w:p w:rsidR="006C6991" w:rsidRDefault="006C6991" w:rsidP="005C6577">
            <w:pPr>
              <w:rPr>
                <w:sz w:val="24"/>
              </w:rPr>
            </w:pPr>
          </w:p>
          <w:p w:rsidR="00D723E7" w:rsidRDefault="00D723E7" w:rsidP="005C6577">
            <w:pPr>
              <w:rPr>
                <w:sz w:val="24"/>
              </w:rPr>
            </w:pPr>
          </w:p>
          <w:p w:rsidR="00D723E7" w:rsidRDefault="00D723E7" w:rsidP="005C6577">
            <w:pPr>
              <w:rPr>
                <w:sz w:val="24"/>
              </w:rPr>
            </w:pPr>
            <w:r>
              <w:rPr>
                <w:sz w:val="24"/>
              </w:rPr>
              <w:t xml:space="preserve">A member of staff will be selected as an intervention lead teacher for PP and EAL working across all afternoons of the week. </w:t>
            </w:r>
          </w:p>
          <w:p w:rsidR="00D723E7" w:rsidRDefault="00D723E7" w:rsidP="005C6577">
            <w:pPr>
              <w:rPr>
                <w:sz w:val="24"/>
              </w:rPr>
            </w:pPr>
          </w:p>
          <w:p w:rsidR="00D723E7" w:rsidRDefault="00984268" w:rsidP="005C6577">
            <w:pPr>
              <w:rPr>
                <w:sz w:val="24"/>
              </w:rPr>
            </w:pPr>
            <w:r>
              <w:rPr>
                <w:sz w:val="24"/>
              </w:rPr>
              <w:t xml:space="preserve">These children will be selected through data and discussions with SLT and the class teacher at pupil progress meetings half termly. </w:t>
            </w:r>
          </w:p>
          <w:p w:rsidR="00D723E7" w:rsidRPr="00B373BE" w:rsidRDefault="00D723E7" w:rsidP="00D723E7">
            <w:pPr>
              <w:jc w:val="right"/>
              <w:rPr>
                <w:sz w:val="24"/>
              </w:rPr>
            </w:pPr>
            <w:r w:rsidRPr="00B373BE">
              <w:rPr>
                <w:color w:val="FF0000"/>
                <w:sz w:val="24"/>
              </w:rPr>
              <w:t>(£</w:t>
            </w:r>
            <w:r>
              <w:rPr>
                <w:color w:val="FF0000"/>
                <w:sz w:val="24"/>
              </w:rPr>
              <w:t>5,00</w:t>
            </w:r>
            <w:r w:rsidRPr="00B373BE">
              <w:rPr>
                <w:color w:val="FF0000"/>
                <w:sz w:val="24"/>
              </w:rPr>
              <w:t>0 cost from Catch up budget)</w:t>
            </w:r>
          </w:p>
        </w:tc>
        <w:tc>
          <w:tcPr>
            <w:tcW w:w="3119" w:type="dxa"/>
          </w:tcPr>
          <w:p w:rsidR="006C6991" w:rsidRPr="00B373BE" w:rsidRDefault="006C6991" w:rsidP="005C6577">
            <w:pPr>
              <w:rPr>
                <w:sz w:val="24"/>
              </w:rPr>
            </w:pPr>
          </w:p>
        </w:tc>
        <w:tc>
          <w:tcPr>
            <w:tcW w:w="1276" w:type="dxa"/>
          </w:tcPr>
          <w:p w:rsidR="006C6991" w:rsidRPr="00B373BE" w:rsidRDefault="00D723E7" w:rsidP="005C6577">
            <w:pPr>
              <w:rPr>
                <w:sz w:val="24"/>
              </w:rPr>
            </w:pPr>
            <w:r>
              <w:rPr>
                <w:sz w:val="24"/>
              </w:rPr>
              <w:t>MN/ CZ</w:t>
            </w:r>
          </w:p>
        </w:tc>
        <w:tc>
          <w:tcPr>
            <w:tcW w:w="1359" w:type="dxa"/>
          </w:tcPr>
          <w:p w:rsidR="006C6991" w:rsidRPr="00B373BE" w:rsidRDefault="006C6991" w:rsidP="005C6577">
            <w:pPr>
              <w:rPr>
                <w:sz w:val="24"/>
              </w:rPr>
            </w:pPr>
          </w:p>
        </w:tc>
      </w:tr>
      <w:tr w:rsidR="006C6991" w:rsidTr="00B373BE">
        <w:tc>
          <w:tcPr>
            <w:tcW w:w="4673" w:type="dxa"/>
          </w:tcPr>
          <w:p w:rsidR="006C6991" w:rsidRDefault="0010149B" w:rsidP="005C6577">
            <w:pPr>
              <w:rPr>
                <w:sz w:val="24"/>
                <w:u w:val="single"/>
              </w:rPr>
            </w:pPr>
            <w:r>
              <w:rPr>
                <w:sz w:val="24"/>
                <w:u w:val="single"/>
              </w:rPr>
              <w:t>Access to support materials:</w:t>
            </w:r>
          </w:p>
          <w:p w:rsidR="0010149B" w:rsidRDefault="0010149B" w:rsidP="005C6577">
            <w:pPr>
              <w:rPr>
                <w:sz w:val="24"/>
                <w:u w:val="single"/>
              </w:rPr>
            </w:pPr>
          </w:p>
          <w:p w:rsidR="0010149B" w:rsidRPr="0010149B" w:rsidRDefault="0010149B" w:rsidP="005C6577">
            <w:pPr>
              <w:rPr>
                <w:sz w:val="24"/>
              </w:rPr>
            </w:pPr>
            <w:r w:rsidRPr="0010149B">
              <w:rPr>
                <w:sz w:val="24"/>
              </w:rPr>
              <w:t xml:space="preserve">To ensure that the children have access to good quality learning materials both at home and at school to try and close the gaps created by long periods of lockdown out of school. These resources will be used how the teacher deems most effective for each class based on their individual and collective needs. </w:t>
            </w:r>
          </w:p>
          <w:p w:rsidR="0010149B" w:rsidRPr="0010149B" w:rsidRDefault="0010149B" w:rsidP="005C6577">
            <w:pPr>
              <w:rPr>
                <w:sz w:val="24"/>
              </w:rPr>
            </w:pPr>
          </w:p>
        </w:tc>
        <w:tc>
          <w:tcPr>
            <w:tcW w:w="4961" w:type="dxa"/>
          </w:tcPr>
          <w:p w:rsidR="0010149B" w:rsidRDefault="0010149B" w:rsidP="005C6577">
            <w:pPr>
              <w:rPr>
                <w:sz w:val="24"/>
              </w:rPr>
            </w:pPr>
          </w:p>
          <w:p w:rsidR="0010149B" w:rsidRDefault="0010149B" w:rsidP="005C6577">
            <w:pPr>
              <w:rPr>
                <w:sz w:val="24"/>
              </w:rPr>
            </w:pPr>
          </w:p>
          <w:p w:rsidR="006C6991" w:rsidRDefault="0010149B" w:rsidP="005C6577">
            <w:pPr>
              <w:rPr>
                <w:sz w:val="24"/>
              </w:rPr>
            </w:pPr>
            <w:r>
              <w:rPr>
                <w:sz w:val="24"/>
              </w:rPr>
              <w:t>All children across KS2 in 2021-22 will receive a CGP bundle pack to support their learning both at home and in school.</w:t>
            </w:r>
          </w:p>
          <w:p w:rsidR="0010149B" w:rsidRDefault="0010149B" w:rsidP="005C6577">
            <w:pPr>
              <w:rPr>
                <w:sz w:val="24"/>
              </w:rPr>
            </w:pPr>
          </w:p>
          <w:p w:rsidR="0010149B" w:rsidRDefault="0010149B" w:rsidP="0010149B">
            <w:pPr>
              <w:jc w:val="right"/>
              <w:rPr>
                <w:color w:val="FF0000"/>
                <w:sz w:val="24"/>
              </w:rPr>
            </w:pPr>
            <w:r w:rsidRPr="00B373BE">
              <w:rPr>
                <w:color w:val="FF0000"/>
                <w:sz w:val="24"/>
              </w:rPr>
              <w:t>(£</w:t>
            </w:r>
            <w:r>
              <w:rPr>
                <w:color w:val="FF0000"/>
                <w:sz w:val="24"/>
              </w:rPr>
              <w:t xml:space="preserve"> 1,320</w:t>
            </w:r>
            <w:r w:rsidRPr="00B373BE">
              <w:rPr>
                <w:color w:val="FF0000"/>
                <w:sz w:val="24"/>
              </w:rPr>
              <w:t xml:space="preserve"> cost from Catch up budget)</w:t>
            </w:r>
          </w:p>
          <w:p w:rsidR="0010149B" w:rsidRDefault="0010149B" w:rsidP="0010149B">
            <w:pPr>
              <w:jc w:val="right"/>
              <w:rPr>
                <w:sz w:val="24"/>
              </w:rPr>
            </w:pPr>
          </w:p>
          <w:p w:rsidR="0010149B" w:rsidRPr="00B373BE" w:rsidRDefault="0010149B" w:rsidP="00426145">
            <w:pPr>
              <w:rPr>
                <w:sz w:val="24"/>
              </w:rPr>
            </w:pPr>
            <w:r>
              <w:rPr>
                <w:sz w:val="24"/>
              </w:rPr>
              <w:t>All children in EYFS and KS1 will have the advantage of extra phonics resources. This will be lead by the EYFS and Phonics leads.</w:t>
            </w:r>
          </w:p>
        </w:tc>
        <w:tc>
          <w:tcPr>
            <w:tcW w:w="3119" w:type="dxa"/>
          </w:tcPr>
          <w:p w:rsidR="006C6991" w:rsidRPr="00B373BE" w:rsidRDefault="006C6991" w:rsidP="005C6577">
            <w:pPr>
              <w:rPr>
                <w:sz w:val="24"/>
              </w:rPr>
            </w:pPr>
          </w:p>
        </w:tc>
        <w:tc>
          <w:tcPr>
            <w:tcW w:w="1276" w:type="dxa"/>
          </w:tcPr>
          <w:p w:rsidR="00D723E7" w:rsidRDefault="00D723E7" w:rsidP="005C6577">
            <w:pPr>
              <w:rPr>
                <w:sz w:val="24"/>
              </w:rPr>
            </w:pPr>
          </w:p>
          <w:p w:rsidR="00D723E7" w:rsidRDefault="00D723E7" w:rsidP="005C6577">
            <w:pPr>
              <w:rPr>
                <w:sz w:val="24"/>
              </w:rPr>
            </w:pPr>
          </w:p>
          <w:p w:rsidR="006C6991" w:rsidRPr="00B373BE" w:rsidRDefault="00D723E7" w:rsidP="005C6577">
            <w:pPr>
              <w:rPr>
                <w:sz w:val="24"/>
              </w:rPr>
            </w:pPr>
            <w:r>
              <w:rPr>
                <w:sz w:val="24"/>
              </w:rPr>
              <w:t>MN/ RL/ AD</w:t>
            </w:r>
          </w:p>
        </w:tc>
        <w:tc>
          <w:tcPr>
            <w:tcW w:w="1359" w:type="dxa"/>
          </w:tcPr>
          <w:p w:rsidR="006C6991" w:rsidRPr="00B373BE" w:rsidRDefault="006C6991" w:rsidP="005C6577">
            <w:pPr>
              <w:rPr>
                <w:sz w:val="24"/>
              </w:rPr>
            </w:pPr>
          </w:p>
        </w:tc>
      </w:tr>
      <w:tr w:rsidR="006C6991" w:rsidTr="00B373BE">
        <w:tc>
          <w:tcPr>
            <w:tcW w:w="4673" w:type="dxa"/>
          </w:tcPr>
          <w:p w:rsidR="006C6991" w:rsidRDefault="006C6991" w:rsidP="005C6577">
            <w:pPr>
              <w:rPr>
                <w:sz w:val="24"/>
                <w:u w:val="single"/>
              </w:rPr>
            </w:pPr>
          </w:p>
        </w:tc>
        <w:tc>
          <w:tcPr>
            <w:tcW w:w="4961" w:type="dxa"/>
          </w:tcPr>
          <w:p w:rsidR="006C6991" w:rsidRPr="00B373BE" w:rsidRDefault="006C6991" w:rsidP="005C6577">
            <w:pPr>
              <w:rPr>
                <w:sz w:val="24"/>
              </w:rPr>
            </w:pPr>
          </w:p>
        </w:tc>
        <w:tc>
          <w:tcPr>
            <w:tcW w:w="3119" w:type="dxa"/>
          </w:tcPr>
          <w:p w:rsidR="006C6991" w:rsidRPr="00B373BE" w:rsidRDefault="006C6991" w:rsidP="005C6577">
            <w:pPr>
              <w:rPr>
                <w:sz w:val="24"/>
              </w:rPr>
            </w:pPr>
          </w:p>
        </w:tc>
        <w:tc>
          <w:tcPr>
            <w:tcW w:w="1276" w:type="dxa"/>
          </w:tcPr>
          <w:p w:rsidR="006C6991" w:rsidRPr="00B373BE" w:rsidRDefault="006C6991" w:rsidP="005C6577">
            <w:pPr>
              <w:rPr>
                <w:sz w:val="24"/>
              </w:rPr>
            </w:pPr>
          </w:p>
        </w:tc>
        <w:tc>
          <w:tcPr>
            <w:tcW w:w="1359" w:type="dxa"/>
          </w:tcPr>
          <w:p w:rsidR="006C6991" w:rsidRPr="00B373BE" w:rsidRDefault="006C6991" w:rsidP="005C6577">
            <w:pPr>
              <w:rPr>
                <w:sz w:val="24"/>
              </w:rPr>
            </w:pPr>
          </w:p>
        </w:tc>
      </w:tr>
      <w:tr w:rsidR="00E61852" w:rsidTr="00221940">
        <w:tc>
          <w:tcPr>
            <w:tcW w:w="14029" w:type="dxa"/>
            <w:gridSpan w:val="4"/>
          </w:tcPr>
          <w:p w:rsidR="00E61852" w:rsidRPr="00B373BE" w:rsidRDefault="00E61852" w:rsidP="00E61852">
            <w:pPr>
              <w:jc w:val="right"/>
              <w:rPr>
                <w:sz w:val="24"/>
              </w:rPr>
            </w:pPr>
            <w:r w:rsidRPr="00E61852">
              <w:rPr>
                <w:color w:val="FF0000"/>
                <w:sz w:val="24"/>
              </w:rPr>
              <w:t>Total budgeted cost from catch up budget</w:t>
            </w:r>
          </w:p>
        </w:tc>
        <w:tc>
          <w:tcPr>
            <w:tcW w:w="1359" w:type="dxa"/>
          </w:tcPr>
          <w:p w:rsidR="00E61852" w:rsidRPr="00B373BE" w:rsidRDefault="00E61852" w:rsidP="005C6577">
            <w:pPr>
              <w:rPr>
                <w:sz w:val="24"/>
              </w:rPr>
            </w:pPr>
            <w:r w:rsidRPr="00E61852">
              <w:rPr>
                <w:color w:val="FF0000"/>
                <w:sz w:val="24"/>
              </w:rPr>
              <w:t>£6,320</w:t>
            </w:r>
          </w:p>
        </w:tc>
      </w:tr>
      <w:tr w:rsidR="0010149B" w:rsidTr="00CE1D1B">
        <w:tc>
          <w:tcPr>
            <w:tcW w:w="15388" w:type="dxa"/>
            <w:gridSpan w:val="5"/>
          </w:tcPr>
          <w:p w:rsidR="0010149B" w:rsidRPr="006C6991" w:rsidRDefault="0010149B" w:rsidP="0010149B">
            <w:pPr>
              <w:rPr>
                <w:b/>
                <w:sz w:val="32"/>
              </w:rPr>
            </w:pPr>
            <w:r>
              <w:rPr>
                <w:b/>
                <w:sz w:val="32"/>
              </w:rPr>
              <w:t>3, Wider strategies</w:t>
            </w:r>
          </w:p>
        </w:tc>
      </w:tr>
      <w:tr w:rsidR="0010149B" w:rsidTr="00B373BE">
        <w:tc>
          <w:tcPr>
            <w:tcW w:w="4673" w:type="dxa"/>
          </w:tcPr>
          <w:p w:rsidR="0010149B" w:rsidRPr="00B373BE" w:rsidRDefault="0010149B" w:rsidP="0010149B">
            <w:pPr>
              <w:jc w:val="center"/>
              <w:rPr>
                <w:b/>
                <w:sz w:val="24"/>
              </w:rPr>
            </w:pPr>
            <w:r>
              <w:rPr>
                <w:b/>
                <w:sz w:val="24"/>
              </w:rPr>
              <w:t>Desired outcome</w:t>
            </w:r>
          </w:p>
        </w:tc>
        <w:tc>
          <w:tcPr>
            <w:tcW w:w="4961" w:type="dxa"/>
          </w:tcPr>
          <w:p w:rsidR="0010149B" w:rsidRPr="00B373BE" w:rsidRDefault="0010149B" w:rsidP="0010149B">
            <w:pPr>
              <w:jc w:val="center"/>
              <w:rPr>
                <w:b/>
                <w:sz w:val="24"/>
              </w:rPr>
            </w:pPr>
            <w:r>
              <w:rPr>
                <w:b/>
                <w:sz w:val="24"/>
              </w:rPr>
              <w:t>Chosen approach and anticipated cost</w:t>
            </w:r>
          </w:p>
        </w:tc>
        <w:tc>
          <w:tcPr>
            <w:tcW w:w="3119" w:type="dxa"/>
          </w:tcPr>
          <w:p w:rsidR="0010149B" w:rsidRPr="00B373BE" w:rsidRDefault="0010149B" w:rsidP="0010149B">
            <w:pPr>
              <w:jc w:val="center"/>
              <w:rPr>
                <w:b/>
                <w:sz w:val="24"/>
              </w:rPr>
            </w:pPr>
            <w:r>
              <w:rPr>
                <w:b/>
                <w:sz w:val="24"/>
              </w:rPr>
              <w:t xml:space="preserve">Impact (once reviewed) </w:t>
            </w:r>
          </w:p>
        </w:tc>
        <w:tc>
          <w:tcPr>
            <w:tcW w:w="1276" w:type="dxa"/>
          </w:tcPr>
          <w:p w:rsidR="0010149B" w:rsidRPr="00B373BE" w:rsidRDefault="0010149B" w:rsidP="0010149B">
            <w:pPr>
              <w:jc w:val="center"/>
              <w:rPr>
                <w:b/>
                <w:sz w:val="24"/>
              </w:rPr>
            </w:pPr>
            <w:r>
              <w:rPr>
                <w:b/>
                <w:sz w:val="24"/>
              </w:rPr>
              <w:t>Staff lead</w:t>
            </w:r>
          </w:p>
        </w:tc>
        <w:tc>
          <w:tcPr>
            <w:tcW w:w="1359" w:type="dxa"/>
          </w:tcPr>
          <w:p w:rsidR="0010149B" w:rsidRPr="00B373BE" w:rsidRDefault="0010149B" w:rsidP="0010149B">
            <w:pPr>
              <w:jc w:val="center"/>
              <w:rPr>
                <w:b/>
                <w:sz w:val="24"/>
              </w:rPr>
            </w:pPr>
            <w:r>
              <w:rPr>
                <w:b/>
                <w:sz w:val="24"/>
              </w:rPr>
              <w:t>Review date</w:t>
            </w:r>
          </w:p>
        </w:tc>
      </w:tr>
      <w:tr w:rsidR="0010149B" w:rsidTr="00B373BE">
        <w:tc>
          <w:tcPr>
            <w:tcW w:w="4673" w:type="dxa"/>
          </w:tcPr>
          <w:p w:rsidR="0010149B" w:rsidRPr="006B25B4" w:rsidRDefault="0010149B" w:rsidP="0010149B">
            <w:pPr>
              <w:rPr>
                <w:sz w:val="24"/>
                <w:szCs w:val="24"/>
                <w:u w:val="single"/>
              </w:rPr>
            </w:pPr>
            <w:r w:rsidRPr="006B25B4">
              <w:rPr>
                <w:sz w:val="24"/>
                <w:szCs w:val="24"/>
                <w:u w:val="single"/>
              </w:rPr>
              <w:t>Supporting parents and carers:</w:t>
            </w:r>
          </w:p>
          <w:p w:rsidR="006B25B4" w:rsidRPr="006B25B4" w:rsidRDefault="006B25B4" w:rsidP="006B25B4">
            <w:pPr>
              <w:pStyle w:val="Default"/>
            </w:pPr>
          </w:p>
          <w:p w:rsidR="006B25B4" w:rsidRPr="006B25B4" w:rsidRDefault="006B25B4" w:rsidP="006B25B4">
            <w:pPr>
              <w:pStyle w:val="Default"/>
            </w:pPr>
            <w:r w:rsidRPr="006B25B4">
              <w:t xml:space="preserve">Children will have greater opportunities to access learning at home. Home-learning opportunities will not always require parents to engage with the activities, affording the children greater independence and increasing the likelihood that parents can sustain home-learning if required to isolate. </w:t>
            </w:r>
          </w:p>
          <w:p w:rsidR="006B25B4" w:rsidRPr="006B25B4" w:rsidRDefault="006B25B4" w:rsidP="006B25B4">
            <w:pPr>
              <w:pStyle w:val="Default"/>
            </w:pPr>
          </w:p>
          <w:p w:rsidR="006B25B4" w:rsidRDefault="006B25B4" w:rsidP="006B25B4">
            <w:pPr>
              <w:pStyle w:val="Default"/>
            </w:pPr>
            <w:r w:rsidRPr="006B25B4">
              <w:t xml:space="preserve">Children have access to appropriate stationery and paper-based home-learning if required so that all can access learning irrespective of ability of child/parent to navigate the online learning. </w:t>
            </w:r>
          </w:p>
          <w:p w:rsidR="006B25B4" w:rsidRDefault="006B25B4" w:rsidP="006B25B4">
            <w:pPr>
              <w:pStyle w:val="Default"/>
            </w:pPr>
          </w:p>
          <w:p w:rsidR="006B25B4" w:rsidRDefault="006B25B4" w:rsidP="006B25B4">
            <w:pPr>
              <w:pStyle w:val="Default"/>
            </w:pPr>
          </w:p>
          <w:p w:rsidR="006B25B4" w:rsidRPr="006B25B4" w:rsidRDefault="006B25B4" w:rsidP="006B25B4">
            <w:pPr>
              <w:pStyle w:val="Default"/>
            </w:pPr>
          </w:p>
          <w:p w:rsidR="0010149B" w:rsidRPr="006B25B4" w:rsidRDefault="006B25B4" w:rsidP="006B25B4">
            <w:pPr>
              <w:rPr>
                <w:sz w:val="24"/>
                <w:szCs w:val="24"/>
                <w:u w:val="single"/>
              </w:rPr>
            </w:pPr>
            <w:r w:rsidRPr="006B25B4">
              <w:rPr>
                <w:sz w:val="24"/>
                <w:szCs w:val="24"/>
              </w:rPr>
              <w:t xml:space="preserve">Pupils eligible for FSM will not be disadvantaged if self-isolating and will still be provided with meals. </w:t>
            </w:r>
          </w:p>
          <w:p w:rsidR="0010149B" w:rsidRPr="006B25B4" w:rsidRDefault="0010149B" w:rsidP="0010149B">
            <w:pPr>
              <w:rPr>
                <w:sz w:val="24"/>
                <w:szCs w:val="24"/>
                <w:u w:val="single"/>
              </w:rPr>
            </w:pPr>
          </w:p>
        </w:tc>
        <w:tc>
          <w:tcPr>
            <w:tcW w:w="4961" w:type="dxa"/>
          </w:tcPr>
          <w:p w:rsidR="006B25B4" w:rsidRPr="006B25B4" w:rsidRDefault="006B25B4" w:rsidP="006B25B4">
            <w:pPr>
              <w:pStyle w:val="Default"/>
              <w:rPr>
                <w:bCs/>
                <w:iCs/>
              </w:rPr>
            </w:pPr>
          </w:p>
          <w:p w:rsidR="006B25B4" w:rsidRPr="006B25B4" w:rsidRDefault="006B25B4" w:rsidP="006B25B4">
            <w:pPr>
              <w:pStyle w:val="Default"/>
              <w:rPr>
                <w:bCs/>
                <w:iCs/>
              </w:rPr>
            </w:pPr>
          </w:p>
          <w:p w:rsidR="006B25B4" w:rsidRPr="006B25B4" w:rsidRDefault="006B25B4" w:rsidP="006B25B4">
            <w:pPr>
              <w:pStyle w:val="Default"/>
            </w:pPr>
            <w:r w:rsidRPr="006B25B4">
              <w:rPr>
                <w:bCs/>
                <w:iCs/>
              </w:rPr>
              <w:t xml:space="preserve">We will continue to use Seesaw to engage with parents and carers at home and also to provide remote home learning when pupils isolate. </w:t>
            </w:r>
          </w:p>
          <w:p w:rsidR="006B25B4" w:rsidRPr="00624B05" w:rsidRDefault="006B25B4" w:rsidP="006B25B4">
            <w:pPr>
              <w:jc w:val="right"/>
              <w:rPr>
                <w:sz w:val="24"/>
              </w:rPr>
            </w:pPr>
            <w:r w:rsidRPr="00B373BE">
              <w:rPr>
                <w:color w:val="FF0000"/>
                <w:sz w:val="24"/>
              </w:rPr>
              <w:t>(£</w:t>
            </w:r>
            <w:r>
              <w:rPr>
                <w:color w:val="FF0000"/>
                <w:sz w:val="24"/>
              </w:rPr>
              <w:t>0</w:t>
            </w:r>
            <w:r w:rsidRPr="00B373BE">
              <w:rPr>
                <w:color w:val="FF0000"/>
                <w:sz w:val="24"/>
              </w:rPr>
              <w:t xml:space="preserve"> cost from Catch up budget)</w:t>
            </w:r>
          </w:p>
          <w:p w:rsidR="006B25B4" w:rsidRDefault="006B25B4" w:rsidP="006B25B4">
            <w:pPr>
              <w:pStyle w:val="Default"/>
              <w:rPr>
                <w:bCs/>
                <w:iCs/>
              </w:rPr>
            </w:pPr>
          </w:p>
          <w:p w:rsidR="006B25B4" w:rsidRDefault="006B25B4" w:rsidP="006B25B4">
            <w:pPr>
              <w:pStyle w:val="Default"/>
              <w:rPr>
                <w:bCs/>
                <w:iCs/>
              </w:rPr>
            </w:pPr>
          </w:p>
          <w:p w:rsidR="006B25B4" w:rsidRDefault="006B25B4" w:rsidP="006B25B4">
            <w:pPr>
              <w:pStyle w:val="Default"/>
              <w:rPr>
                <w:bCs/>
                <w:iCs/>
              </w:rPr>
            </w:pPr>
          </w:p>
          <w:p w:rsidR="006B25B4" w:rsidRDefault="006B25B4" w:rsidP="006B25B4">
            <w:pPr>
              <w:pStyle w:val="Default"/>
              <w:rPr>
                <w:bCs/>
                <w:iCs/>
              </w:rPr>
            </w:pPr>
          </w:p>
          <w:p w:rsidR="006B25B4" w:rsidRPr="006B25B4" w:rsidRDefault="006B25B4" w:rsidP="006B25B4">
            <w:pPr>
              <w:pStyle w:val="Default"/>
            </w:pPr>
            <w:r w:rsidRPr="006B25B4">
              <w:rPr>
                <w:bCs/>
                <w:iCs/>
              </w:rPr>
              <w:t xml:space="preserve">Home-learning paper packs are printed and ready to distribute for all children. Stationery packs are to be purchased and set aside for children to take home when home-learning occurs. </w:t>
            </w:r>
          </w:p>
          <w:p w:rsidR="006B25B4" w:rsidRPr="00624B05" w:rsidRDefault="006B25B4" w:rsidP="006B25B4">
            <w:pPr>
              <w:jc w:val="right"/>
              <w:rPr>
                <w:sz w:val="24"/>
              </w:rPr>
            </w:pPr>
            <w:r w:rsidRPr="00B373BE">
              <w:rPr>
                <w:color w:val="FF0000"/>
                <w:sz w:val="24"/>
              </w:rPr>
              <w:t>(£</w:t>
            </w:r>
            <w:r>
              <w:rPr>
                <w:color w:val="FF0000"/>
                <w:sz w:val="24"/>
              </w:rPr>
              <w:t>0</w:t>
            </w:r>
            <w:r w:rsidRPr="00B373BE">
              <w:rPr>
                <w:color w:val="FF0000"/>
                <w:sz w:val="24"/>
              </w:rPr>
              <w:t xml:space="preserve"> cost from Catch up budget)</w:t>
            </w:r>
          </w:p>
          <w:p w:rsidR="006B25B4" w:rsidRDefault="006B25B4" w:rsidP="006B25B4">
            <w:pPr>
              <w:pStyle w:val="Default"/>
            </w:pPr>
          </w:p>
          <w:p w:rsidR="006B25B4" w:rsidRPr="006B25B4" w:rsidRDefault="006B25B4" w:rsidP="006B25B4">
            <w:pPr>
              <w:pStyle w:val="Default"/>
            </w:pPr>
          </w:p>
          <w:p w:rsidR="006B25B4" w:rsidRPr="006B25B4" w:rsidRDefault="006B25B4" w:rsidP="006B25B4">
            <w:pPr>
              <w:pStyle w:val="Default"/>
            </w:pPr>
            <w:r>
              <w:rPr>
                <w:bCs/>
                <w:iCs/>
              </w:rPr>
              <w:t xml:space="preserve">Vulnerable families will </w:t>
            </w:r>
            <w:r w:rsidR="00BE745C">
              <w:rPr>
                <w:bCs/>
                <w:iCs/>
              </w:rPr>
              <w:t>continue</w:t>
            </w:r>
            <w:r>
              <w:rPr>
                <w:bCs/>
                <w:iCs/>
              </w:rPr>
              <w:t xml:space="preserve"> to have access to the school voucher system should isolation be needed. </w:t>
            </w:r>
          </w:p>
          <w:p w:rsidR="006B25B4" w:rsidRPr="00624B05" w:rsidRDefault="006B25B4" w:rsidP="006B25B4">
            <w:pPr>
              <w:jc w:val="right"/>
              <w:rPr>
                <w:sz w:val="24"/>
              </w:rPr>
            </w:pPr>
            <w:r w:rsidRPr="00B373BE">
              <w:rPr>
                <w:color w:val="FF0000"/>
                <w:sz w:val="24"/>
              </w:rPr>
              <w:t>(£</w:t>
            </w:r>
            <w:r>
              <w:rPr>
                <w:color w:val="FF0000"/>
                <w:sz w:val="24"/>
              </w:rPr>
              <w:t>0</w:t>
            </w:r>
            <w:r w:rsidRPr="00B373BE">
              <w:rPr>
                <w:color w:val="FF0000"/>
                <w:sz w:val="24"/>
              </w:rPr>
              <w:t xml:space="preserve"> cost from Catch up budget)</w:t>
            </w:r>
          </w:p>
          <w:p w:rsidR="0010149B" w:rsidRPr="006B25B4" w:rsidRDefault="0010149B" w:rsidP="006B25B4">
            <w:pPr>
              <w:jc w:val="right"/>
              <w:rPr>
                <w:sz w:val="24"/>
                <w:szCs w:val="24"/>
              </w:rPr>
            </w:pPr>
          </w:p>
        </w:tc>
        <w:tc>
          <w:tcPr>
            <w:tcW w:w="3119" w:type="dxa"/>
          </w:tcPr>
          <w:p w:rsidR="0010149B" w:rsidRDefault="0010149B" w:rsidP="0010149B">
            <w:pPr>
              <w:jc w:val="center"/>
              <w:rPr>
                <w:b/>
                <w:sz w:val="24"/>
              </w:rPr>
            </w:pPr>
          </w:p>
        </w:tc>
        <w:tc>
          <w:tcPr>
            <w:tcW w:w="1276" w:type="dxa"/>
          </w:tcPr>
          <w:p w:rsidR="0010149B" w:rsidRPr="00BE745C" w:rsidRDefault="00BE745C" w:rsidP="00BE745C">
            <w:pPr>
              <w:rPr>
                <w:sz w:val="24"/>
              </w:rPr>
            </w:pPr>
            <w:r w:rsidRPr="00BE745C">
              <w:rPr>
                <w:sz w:val="24"/>
              </w:rPr>
              <w:t>SLT</w:t>
            </w:r>
          </w:p>
        </w:tc>
        <w:tc>
          <w:tcPr>
            <w:tcW w:w="1359" w:type="dxa"/>
          </w:tcPr>
          <w:p w:rsidR="0010149B" w:rsidRDefault="0010149B" w:rsidP="0010149B">
            <w:pPr>
              <w:jc w:val="center"/>
              <w:rPr>
                <w:b/>
                <w:sz w:val="24"/>
              </w:rPr>
            </w:pPr>
          </w:p>
        </w:tc>
      </w:tr>
      <w:tr w:rsidR="0010149B" w:rsidTr="00B373BE">
        <w:tc>
          <w:tcPr>
            <w:tcW w:w="4673" w:type="dxa"/>
          </w:tcPr>
          <w:p w:rsidR="0010149B" w:rsidRDefault="0010149B" w:rsidP="0010149B">
            <w:pPr>
              <w:rPr>
                <w:sz w:val="24"/>
                <w:u w:val="single"/>
              </w:rPr>
            </w:pPr>
            <w:r>
              <w:rPr>
                <w:sz w:val="24"/>
                <w:u w:val="single"/>
              </w:rPr>
              <w:t>Access to technology:</w:t>
            </w:r>
          </w:p>
          <w:p w:rsidR="00624B05" w:rsidRDefault="00624B05" w:rsidP="0010149B">
            <w:pPr>
              <w:rPr>
                <w:sz w:val="24"/>
                <w:u w:val="single"/>
              </w:rPr>
            </w:pPr>
          </w:p>
          <w:p w:rsidR="00624B05" w:rsidRDefault="00624B05" w:rsidP="0010149B">
            <w:pPr>
              <w:rPr>
                <w:sz w:val="24"/>
              </w:rPr>
            </w:pPr>
            <w:r>
              <w:rPr>
                <w:sz w:val="24"/>
              </w:rPr>
              <w:t xml:space="preserve">To ensure that children have access to high quality </w:t>
            </w:r>
            <w:r w:rsidR="00E40052">
              <w:rPr>
                <w:sz w:val="24"/>
              </w:rPr>
              <w:t>computing</w:t>
            </w:r>
            <w:r>
              <w:rPr>
                <w:sz w:val="24"/>
              </w:rPr>
              <w:t xml:space="preserve"> equipment in order to continue using the online packages that we subscribe to for both intervention and whole class time. </w:t>
            </w:r>
          </w:p>
          <w:p w:rsidR="00624B05" w:rsidRDefault="00624B05" w:rsidP="0010149B">
            <w:pPr>
              <w:rPr>
                <w:sz w:val="24"/>
              </w:rPr>
            </w:pPr>
          </w:p>
          <w:p w:rsidR="00624B05" w:rsidRPr="00624B05" w:rsidRDefault="00624B05" w:rsidP="0010149B">
            <w:pPr>
              <w:rPr>
                <w:sz w:val="24"/>
              </w:rPr>
            </w:pPr>
            <w:r>
              <w:rPr>
                <w:sz w:val="24"/>
              </w:rPr>
              <w:t xml:space="preserve">Children can access additional devices so they can rotate through discrete teaching, reading fluency and independent online activities. </w:t>
            </w:r>
          </w:p>
          <w:p w:rsidR="0010149B" w:rsidRPr="0010149B" w:rsidRDefault="0010149B" w:rsidP="0010149B">
            <w:pPr>
              <w:rPr>
                <w:sz w:val="24"/>
                <w:u w:val="single"/>
              </w:rPr>
            </w:pPr>
          </w:p>
        </w:tc>
        <w:tc>
          <w:tcPr>
            <w:tcW w:w="4961" w:type="dxa"/>
          </w:tcPr>
          <w:p w:rsidR="0010149B" w:rsidRDefault="0010149B" w:rsidP="00624B05">
            <w:pPr>
              <w:rPr>
                <w:b/>
                <w:sz w:val="24"/>
              </w:rPr>
            </w:pPr>
          </w:p>
          <w:p w:rsidR="00624B05" w:rsidRDefault="00624B05" w:rsidP="00624B05">
            <w:pPr>
              <w:rPr>
                <w:b/>
                <w:sz w:val="24"/>
              </w:rPr>
            </w:pPr>
          </w:p>
          <w:p w:rsidR="00624B05" w:rsidRDefault="00624B05" w:rsidP="00624B05">
            <w:pPr>
              <w:rPr>
                <w:sz w:val="24"/>
              </w:rPr>
            </w:pPr>
            <w:r w:rsidRPr="00624B05">
              <w:rPr>
                <w:sz w:val="24"/>
              </w:rPr>
              <w:t xml:space="preserve">New bank of school </w:t>
            </w:r>
            <w:proofErr w:type="spellStart"/>
            <w:r w:rsidRPr="00624B05">
              <w:rPr>
                <w:sz w:val="24"/>
              </w:rPr>
              <w:t>Ipads</w:t>
            </w:r>
            <w:proofErr w:type="spellEnd"/>
            <w:r w:rsidRPr="00624B05">
              <w:rPr>
                <w:sz w:val="24"/>
              </w:rPr>
              <w:t xml:space="preserve"> (15) purchased and used on a rota across the school. </w:t>
            </w:r>
          </w:p>
          <w:p w:rsidR="00624B05" w:rsidRPr="00624B05" w:rsidRDefault="00624B05" w:rsidP="00624B05">
            <w:pPr>
              <w:jc w:val="right"/>
              <w:rPr>
                <w:sz w:val="24"/>
              </w:rPr>
            </w:pPr>
            <w:r w:rsidRPr="00B373BE">
              <w:rPr>
                <w:color w:val="FF0000"/>
                <w:sz w:val="24"/>
              </w:rPr>
              <w:t>(£</w:t>
            </w:r>
            <w:r>
              <w:rPr>
                <w:color w:val="FF0000"/>
                <w:sz w:val="24"/>
              </w:rPr>
              <w:t>7,000</w:t>
            </w:r>
            <w:r w:rsidRPr="00B373BE">
              <w:rPr>
                <w:color w:val="FF0000"/>
                <w:sz w:val="24"/>
              </w:rPr>
              <w:t xml:space="preserve"> cost from Catch up budget)</w:t>
            </w:r>
          </w:p>
          <w:p w:rsidR="00624B05" w:rsidRPr="00624B05" w:rsidRDefault="00624B05" w:rsidP="00624B05">
            <w:pPr>
              <w:rPr>
                <w:sz w:val="24"/>
              </w:rPr>
            </w:pPr>
          </w:p>
          <w:p w:rsidR="00624B05" w:rsidRDefault="00624B05" w:rsidP="00624B05">
            <w:pPr>
              <w:rPr>
                <w:sz w:val="24"/>
              </w:rPr>
            </w:pPr>
            <w:r w:rsidRPr="00624B05">
              <w:rPr>
                <w:sz w:val="24"/>
              </w:rPr>
              <w:lastRenderedPageBreak/>
              <w:t xml:space="preserve">Computers that were donated to the school to be turned into a new 15 station </w:t>
            </w:r>
            <w:r w:rsidR="00E40052">
              <w:rPr>
                <w:sz w:val="24"/>
              </w:rPr>
              <w:t>computing</w:t>
            </w:r>
            <w:r w:rsidRPr="00624B05">
              <w:rPr>
                <w:sz w:val="24"/>
              </w:rPr>
              <w:t xml:space="preserve"> suite.</w:t>
            </w:r>
          </w:p>
          <w:p w:rsidR="00624B05" w:rsidRPr="00624B05" w:rsidRDefault="00624B05" w:rsidP="00624B05">
            <w:pPr>
              <w:jc w:val="right"/>
              <w:rPr>
                <w:sz w:val="24"/>
              </w:rPr>
            </w:pPr>
            <w:r w:rsidRPr="00B373BE">
              <w:rPr>
                <w:color w:val="FF0000"/>
                <w:sz w:val="24"/>
              </w:rPr>
              <w:t>(£</w:t>
            </w:r>
            <w:r>
              <w:rPr>
                <w:color w:val="FF0000"/>
                <w:sz w:val="24"/>
              </w:rPr>
              <w:t>200</w:t>
            </w:r>
            <w:r w:rsidRPr="00B373BE">
              <w:rPr>
                <w:color w:val="FF0000"/>
                <w:sz w:val="24"/>
              </w:rPr>
              <w:t xml:space="preserve"> cost from Catch up budget)</w:t>
            </w:r>
          </w:p>
          <w:p w:rsidR="00624B05" w:rsidRPr="00624B05" w:rsidRDefault="00624B05" w:rsidP="00624B05">
            <w:pPr>
              <w:rPr>
                <w:sz w:val="24"/>
              </w:rPr>
            </w:pPr>
          </w:p>
          <w:p w:rsidR="00624B05" w:rsidRDefault="00624B05" w:rsidP="00624B05">
            <w:pPr>
              <w:rPr>
                <w:b/>
                <w:sz w:val="24"/>
              </w:rPr>
            </w:pPr>
            <w:r w:rsidRPr="00624B05">
              <w:rPr>
                <w:sz w:val="24"/>
              </w:rPr>
              <w:t>School’s DFE devices given to pupils isolating(where required) so remote learning can take place via the Seesaw app.</w:t>
            </w:r>
            <w:r>
              <w:rPr>
                <w:b/>
                <w:sz w:val="24"/>
              </w:rPr>
              <w:t xml:space="preserve"> </w:t>
            </w:r>
          </w:p>
          <w:p w:rsidR="00624B05" w:rsidRDefault="00624B05" w:rsidP="00624B05">
            <w:pPr>
              <w:jc w:val="right"/>
              <w:rPr>
                <w:b/>
                <w:sz w:val="24"/>
              </w:rPr>
            </w:pPr>
            <w:r w:rsidRPr="00B373BE">
              <w:rPr>
                <w:color w:val="FF0000"/>
                <w:sz w:val="24"/>
              </w:rPr>
              <w:t>(£0 cost from Catch up budget)</w:t>
            </w:r>
          </w:p>
        </w:tc>
        <w:tc>
          <w:tcPr>
            <w:tcW w:w="3119" w:type="dxa"/>
          </w:tcPr>
          <w:p w:rsidR="0010149B" w:rsidRDefault="0010149B" w:rsidP="0010149B">
            <w:pPr>
              <w:jc w:val="center"/>
              <w:rPr>
                <w:b/>
                <w:sz w:val="24"/>
              </w:rPr>
            </w:pPr>
          </w:p>
        </w:tc>
        <w:tc>
          <w:tcPr>
            <w:tcW w:w="1276" w:type="dxa"/>
          </w:tcPr>
          <w:p w:rsidR="00D723E7" w:rsidRDefault="00D723E7" w:rsidP="0010149B">
            <w:pPr>
              <w:jc w:val="center"/>
              <w:rPr>
                <w:sz w:val="24"/>
              </w:rPr>
            </w:pPr>
          </w:p>
          <w:p w:rsidR="00D723E7" w:rsidRDefault="00D723E7" w:rsidP="0010149B">
            <w:pPr>
              <w:jc w:val="center"/>
              <w:rPr>
                <w:sz w:val="24"/>
              </w:rPr>
            </w:pPr>
          </w:p>
          <w:p w:rsidR="0010149B" w:rsidRPr="00D723E7" w:rsidRDefault="00D723E7" w:rsidP="00D723E7">
            <w:pPr>
              <w:rPr>
                <w:sz w:val="24"/>
              </w:rPr>
            </w:pPr>
            <w:r w:rsidRPr="00D723E7">
              <w:rPr>
                <w:sz w:val="24"/>
              </w:rPr>
              <w:t>MN/ JS</w:t>
            </w:r>
          </w:p>
        </w:tc>
        <w:tc>
          <w:tcPr>
            <w:tcW w:w="1359" w:type="dxa"/>
          </w:tcPr>
          <w:p w:rsidR="0010149B" w:rsidRDefault="0010149B" w:rsidP="0010149B">
            <w:pPr>
              <w:jc w:val="center"/>
              <w:rPr>
                <w:b/>
                <w:sz w:val="24"/>
              </w:rPr>
            </w:pPr>
          </w:p>
        </w:tc>
      </w:tr>
      <w:tr w:rsidR="0010149B" w:rsidTr="00B373BE">
        <w:tc>
          <w:tcPr>
            <w:tcW w:w="4673" w:type="dxa"/>
          </w:tcPr>
          <w:p w:rsidR="0010149B" w:rsidRDefault="00984268" w:rsidP="00984268">
            <w:pPr>
              <w:rPr>
                <w:sz w:val="24"/>
                <w:u w:val="single"/>
              </w:rPr>
            </w:pPr>
            <w:r w:rsidRPr="00984268">
              <w:rPr>
                <w:sz w:val="24"/>
                <w:u w:val="single"/>
              </w:rPr>
              <w:t>Mental Health and Wellbeing support:</w:t>
            </w:r>
          </w:p>
          <w:p w:rsidR="00984268" w:rsidRDefault="00984268" w:rsidP="00984268">
            <w:pPr>
              <w:rPr>
                <w:sz w:val="24"/>
                <w:u w:val="single"/>
              </w:rPr>
            </w:pPr>
          </w:p>
          <w:p w:rsidR="00984268" w:rsidRPr="00E61852" w:rsidRDefault="00984268" w:rsidP="00984268">
            <w:pPr>
              <w:rPr>
                <w:sz w:val="24"/>
              </w:rPr>
            </w:pPr>
            <w:r w:rsidRPr="00E61852">
              <w:rPr>
                <w:sz w:val="24"/>
              </w:rPr>
              <w:t>To ensure that children are in the right state of mind to ensure that they can learn. Interventions completed by a trained member of staff to ensure children feel comfortable in school</w:t>
            </w:r>
          </w:p>
        </w:tc>
        <w:tc>
          <w:tcPr>
            <w:tcW w:w="4961" w:type="dxa"/>
          </w:tcPr>
          <w:p w:rsidR="0010149B" w:rsidRDefault="0010149B" w:rsidP="0010149B">
            <w:pPr>
              <w:jc w:val="center"/>
              <w:rPr>
                <w:b/>
                <w:sz w:val="24"/>
              </w:rPr>
            </w:pPr>
          </w:p>
          <w:p w:rsidR="00984268" w:rsidRDefault="00984268" w:rsidP="00984268">
            <w:pPr>
              <w:rPr>
                <w:sz w:val="24"/>
              </w:rPr>
            </w:pPr>
            <w:r>
              <w:rPr>
                <w:sz w:val="24"/>
              </w:rPr>
              <w:t>School to train a new ELSA</w:t>
            </w:r>
          </w:p>
          <w:p w:rsidR="00984268" w:rsidRPr="00624B05" w:rsidRDefault="00984268" w:rsidP="00984268">
            <w:pPr>
              <w:jc w:val="right"/>
              <w:rPr>
                <w:sz w:val="24"/>
              </w:rPr>
            </w:pPr>
            <w:r w:rsidRPr="00B373BE">
              <w:rPr>
                <w:color w:val="FF0000"/>
                <w:sz w:val="24"/>
              </w:rPr>
              <w:t>(£</w:t>
            </w:r>
            <w:r>
              <w:rPr>
                <w:color w:val="FF0000"/>
                <w:sz w:val="24"/>
              </w:rPr>
              <w:t>200</w:t>
            </w:r>
            <w:r w:rsidRPr="00B373BE">
              <w:rPr>
                <w:color w:val="FF0000"/>
                <w:sz w:val="24"/>
              </w:rPr>
              <w:t xml:space="preserve"> cost from Catch up budget)</w:t>
            </w:r>
          </w:p>
          <w:p w:rsidR="00984268" w:rsidRDefault="00984268" w:rsidP="00984268">
            <w:pPr>
              <w:rPr>
                <w:sz w:val="24"/>
              </w:rPr>
            </w:pPr>
          </w:p>
          <w:p w:rsidR="00984268" w:rsidRDefault="00984268" w:rsidP="00984268">
            <w:pPr>
              <w:rPr>
                <w:sz w:val="24"/>
              </w:rPr>
            </w:pPr>
            <w:r>
              <w:rPr>
                <w:sz w:val="24"/>
              </w:rPr>
              <w:t>Member of staff trained in Lego Therapy</w:t>
            </w:r>
          </w:p>
          <w:p w:rsidR="00984268" w:rsidRPr="00624B05" w:rsidRDefault="00984268" w:rsidP="00984268">
            <w:pPr>
              <w:jc w:val="right"/>
              <w:rPr>
                <w:sz w:val="24"/>
              </w:rPr>
            </w:pPr>
            <w:r w:rsidRPr="00B373BE">
              <w:rPr>
                <w:color w:val="FF0000"/>
                <w:sz w:val="24"/>
              </w:rPr>
              <w:t>(£</w:t>
            </w:r>
            <w:r>
              <w:rPr>
                <w:color w:val="FF0000"/>
                <w:sz w:val="24"/>
              </w:rPr>
              <w:t>0</w:t>
            </w:r>
            <w:r w:rsidRPr="00B373BE">
              <w:rPr>
                <w:color w:val="FF0000"/>
                <w:sz w:val="24"/>
              </w:rPr>
              <w:t xml:space="preserve"> cost from Catch up budget)</w:t>
            </w:r>
          </w:p>
          <w:p w:rsidR="00984268" w:rsidRDefault="00984268" w:rsidP="00984268">
            <w:pPr>
              <w:rPr>
                <w:sz w:val="24"/>
              </w:rPr>
            </w:pPr>
          </w:p>
          <w:p w:rsidR="00984268" w:rsidRDefault="00984268" w:rsidP="00984268">
            <w:pPr>
              <w:rPr>
                <w:sz w:val="24"/>
              </w:rPr>
            </w:pPr>
            <w:r>
              <w:rPr>
                <w:sz w:val="24"/>
              </w:rPr>
              <w:t xml:space="preserve">Member of staff used to take out small groups two mornings a week. These children will be selected through data and discussions with SLT and the class teacher at pupil progress meetings half termly. </w:t>
            </w:r>
          </w:p>
          <w:p w:rsidR="00984268" w:rsidRPr="00624B05" w:rsidRDefault="00984268" w:rsidP="00984268">
            <w:pPr>
              <w:jc w:val="right"/>
              <w:rPr>
                <w:sz w:val="24"/>
              </w:rPr>
            </w:pPr>
            <w:r w:rsidRPr="00B373BE">
              <w:rPr>
                <w:color w:val="FF0000"/>
                <w:sz w:val="24"/>
              </w:rPr>
              <w:t>(£</w:t>
            </w:r>
            <w:r>
              <w:rPr>
                <w:color w:val="FF0000"/>
                <w:sz w:val="24"/>
              </w:rPr>
              <w:t>2,000</w:t>
            </w:r>
            <w:r w:rsidRPr="00B373BE">
              <w:rPr>
                <w:color w:val="FF0000"/>
                <w:sz w:val="24"/>
              </w:rPr>
              <w:t xml:space="preserve"> cost from Catch up budget)</w:t>
            </w:r>
          </w:p>
          <w:p w:rsidR="00984268" w:rsidRPr="00984268" w:rsidRDefault="00984268" w:rsidP="00984268">
            <w:pPr>
              <w:rPr>
                <w:sz w:val="24"/>
              </w:rPr>
            </w:pPr>
          </w:p>
        </w:tc>
        <w:tc>
          <w:tcPr>
            <w:tcW w:w="3119" w:type="dxa"/>
          </w:tcPr>
          <w:p w:rsidR="0010149B" w:rsidRDefault="0010149B" w:rsidP="0010149B">
            <w:pPr>
              <w:jc w:val="center"/>
              <w:rPr>
                <w:b/>
                <w:sz w:val="24"/>
              </w:rPr>
            </w:pPr>
          </w:p>
        </w:tc>
        <w:tc>
          <w:tcPr>
            <w:tcW w:w="1276" w:type="dxa"/>
          </w:tcPr>
          <w:p w:rsidR="0010149B" w:rsidRPr="00E61852" w:rsidRDefault="00E61852" w:rsidP="00E61852">
            <w:pPr>
              <w:rPr>
                <w:sz w:val="24"/>
              </w:rPr>
            </w:pPr>
            <w:r>
              <w:rPr>
                <w:sz w:val="24"/>
              </w:rPr>
              <w:t>MN/ CZ</w:t>
            </w:r>
          </w:p>
        </w:tc>
        <w:tc>
          <w:tcPr>
            <w:tcW w:w="1359" w:type="dxa"/>
          </w:tcPr>
          <w:p w:rsidR="0010149B" w:rsidRDefault="0010149B" w:rsidP="0010149B">
            <w:pPr>
              <w:jc w:val="center"/>
              <w:rPr>
                <w:b/>
                <w:sz w:val="24"/>
              </w:rPr>
            </w:pPr>
          </w:p>
        </w:tc>
      </w:tr>
      <w:tr w:rsidR="00E61852" w:rsidTr="0002231E">
        <w:tc>
          <w:tcPr>
            <w:tcW w:w="14029" w:type="dxa"/>
            <w:gridSpan w:val="4"/>
          </w:tcPr>
          <w:p w:rsidR="00E61852" w:rsidRDefault="00E61852" w:rsidP="00E61852">
            <w:pPr>
              <w:jc w:val="right"/>
              <w:rPr>
                <w:b/>
                <w:sz w:val="24"/>
              </w:rPr>
            </w:pPr>
            <w:r w:rsidRPr="00E61852">
              <w:rPr>
                <w:color w:val="FF0000"/>
                <w:sz w:val="24"/>
              </w:rPr>
              <w:t>Total budgeted cost from catch up budget</w:t>
            </w:r>
          </w:p>
        </w:tc>
        <w:tc>
          <w:tcPr>
            <w:tcW w:w="1359" w:type="dxa"/>
          </w:tcPr>
          <w:p w:rsidR="00E61852" w:rsidRPr="00E61852" w:rsidRDefault="00E61852" w:rsidP="00E61852">
            <w:pPr>
              <w:rPr>
                <w:sz w:val="24"/>
              </w:rPr>
            </w:pPr>
            <w:r w:rsidRPr="00E61852">
              <w:rPr>
                <w:color w:val="FF0000"/>
                <w:sz w:val="24"/>
              </w:rPr>
              <w:t>£9,400</w:t>
            </w:r>
          </w:p>
        </w:tc>
      </w:tr>
      <w:tr w:rsidR="00532E0D" w:rsidTr="0002231E">
        <w:tc>
          <w:tcPr>
            <w:tcW w:w="14029" w:type="dxa"/>
            <w:gridSpan w:val="4"/>
          </w:tcPr>
          <w:p w:rsidR="00532E0D" w:rsidRPr="00E61852" w:rsidRDefault="00532E0D" w:rsidP="00E61852">
            <w:pPr>
              <w:jc w:val="right"/>
              <w:rPr>
                <w:color w:val="FF0000"/>
                <w:sz w:val="24"/>
              </w:rPr>
            </w:pPr>
          </w:p>
        </w:tc>
        <w:tc>
          <w:tcPr>
            <w:tcW w:w="1359" w:type="dxa"/>
          </w:tcPr>
          <w:p w:rsidR="00532E0D" w:rsidRPr="00E61852" w:rsidRDefault="00532E0D" w:rsidP="00E61852">
            <w:pPr>
              <w:rPr>
                <w:color w:val="FF0000"/>
                <w:sz w:val="24"/>
              </w:rPr>
            </w:pPr>
          </w:p>
        </w:tc>
      </w:tr>
      <w:tr w:rsidR="00532E0D" w:rsidTr="0002231E">
        <w:tc>
          <w:tcPr>
            <w:tcW w:w="14029" w:type="dxa"/>
            <w:gridSpan w:val="4"/>
          </w:tcPr>
          <w:p w:rsidR="00532E0D" w:rsidRPr="00532E0D" w:rsidRDefault="00532E0D" w:rsidP="00E61852">
            <w:pPr>
              <w:jc w:val="right"/>
              <w:rPr>
                <w:b/>
                <w:sz w:val="24"/>
              </w:rPr>
            </w:pPr>
            <w:r w:rsidRPr="00532E0D">
              <w:rPr>
                <w:b/>
                <w:sz w:val="24"/>
              </w:rPr>
              <w:t>Total cost</w:t>
            </w:r>
          </w:p>
        </w:tc>
        <w:tc>
          <w:tcPr>
            <w:tcW w:w="1359" w:type="dxa"/>
          </w:tcPr>
          <w:p w:rsidR="00532E0D" w:rsidRPr="00E61852" w:rsidRDefault="00532E0D" w:rsidP="00E61852">
            <w:pPr>
              <w:rPr>
                <w:color w:val="FF0000"/>
                <w:sz w:val="24"/>
              </w:rPr>
            </w:pPr>
            <w:r>
              <w:rPr>
                <w:color w:val="FF0000"/>
                <w:sz w:val="24"/>
              </w:rPr>
              <w:t>£15,720</w:t>
            </w:r>
          </w:p>
        </w:tc>
      </w:tr>
      <w:tr w:rsidR="00532E0D" w:rsidTr="0002231E">
        <w:tc>
          <w:tcPr>
            <w:tcW w:w="14029" w:type="dxa"/>
            <w:gridSpan w:val="4"/>
          </w:tcPr>
          <w:p w:rsidR="00532E0D" w:rsidRPr="00532E0D" w:rsidRDefault="00532E0D" w:rsidP="00E61852">
            <w:pPr>
              <w:jc w:val="right"/>
              <w:rPr>
                <w:b/>
                <w:sz w:val="24"/>
              </w:rPr>
            </w:pPr>
            <w:r w:rsidRPr="00532E0D">
              <w:rPr>
                <w:b/>
                <w:sz w:val="24"/>
              </w:rPr>
              <w:t>Costs paid through Covid catch up budget</w:t>
            </w:r>
          </w:p>
        </w:tc>
        <w:tc>
          <w:tcPr>
            <w:tcW w:w="1359" w:type="dxa"/>
          </w:tcPr>
          <w:p w:rsidR="00532E0D" w:rsidRPr="00E61852" w:rsidRDefault="00532E0D" w:rsidP="00E61852">
            <w:pPr>
              <w:rPr>
                <w:color w:val="FF0000"/>
                <w:sz w:val="24"/>
              </w:rPr>
            </w:pPr>
          </w:p>
        </w:tc>
      </w:tr>
      <w:tr w:rsidR="00532E0D" w:rsidTr="0002231E">
        <w:tc>
          <w:tcPr>
            <w:tcW w:w="14029" w:type="dxa"/>
            <w:gridSpan w:val="4"/>
          </w:tcPr>
          <w:p w:rsidR="00532E0D" w:rsidRPr="00532E0D" w:rsidRDefault="00532E0D" w:rsidP="00E61852">
            <w:pPr>
              <w:jc w:val="right"/>
              <w:rPr>
                <w:b/>
                <w:sz w:val="24"/>
              </w:rPr>
            </w:pPr>
            <w:r w:rsidRPr="00532E0D">
              <w:rPr>
                <w:b/>
                <w:sz w:val="24"/>
              </w:rPr>
              <w:t>Costs paid through school budget</w:t>
            </w:r>
          </w:p>
        </w:tc>
        <w:tc>
          <w:tcPr>
            <w:tcW w:w="1359" w:type="dxa"/>
          </w:tcPr>
          <w:p w:rsidR="00532E0D" w:rsidRPr="00E61852" w:rsidRDefault="00532E0D" w:rsidP="00E61852">
            <w:pPr>
              <w:rPr>
                <w:color w:val="FF0000"/>
                <w:sz w:val="24"/>
              </w:rPr>
            </w:pPr>
          </w:p>
        </w:tc>
      </w:tr>
    </w:tbl>
    <w:p w:rsidR="0063443A" w:rsidRPr="005C6577" w:rsidRDefault="0063443A" w:rsidP="005C6577">
      <w:pPr>
        <w:rPr>
          <w:sz w:val="40"/>
        </w:rPr>
      </w:pPr>
    </w:p>
    <w:sectPr w:rsidR="0063443A" w:rsidRPr="005C6577" w:rsidSect="002F0C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6E5"/>
    <w:multiLevelType w:val="hybridMultilevel"/>
    <w:tmpl w:val="D4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D5B"/>
    <w:multiLevelType w:val="hybridMultilevel"/>
    <w:tmpl w:val="C38684BE"/>
    <w:lvl w:ilvl="0" w:tplc="DFBE313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3121"/>
    <w:multiLevelType w:val="hybridMultilevel"/>
    <w:tmpl w:val="0F662FE8"/>
    <w:lvl w:ilvl="0" w:tplc="DFBE313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027B"/>
    <w:multiLevelType w:val="hybridMultilevel"/>
    <w:tmpl w:val="99A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82ABC"/>
    <w:multiLevelType w:val="hybridMultilevel"/>
    <w:tmpl w:val="657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3A"/>
    <w:rsid w:val="00083DDC"/>
    <w:rsid w:val="000A2EA2"/>
    <w:rsid w:val="000E7433"/>
    <w:rsid w:val="0010149B"/>
    <w:rsid w:val="00205634"/>
    <w:rsid w:val="00285B51"/>
    <w:rsid w:val="002F0C3A"/>
    <w:rsid w:val="003E5D41"/>
    <w:rsid w:val="00426145"/>
    <w:rsid w:val="00434FB2"/>
    <w:rsid w:val="004854AD"/>
    <w:rsid w:val="00532E0D"/>
    <w:rsid w:val="005C6577"/>
    <w:rsid w:val="005F5723"/>
    <w:rsid w:val="00624B05"/>
    <w:rsid w:val="00625316"/>
    <w:rsid w:val="0063443A"/>
    <w:rsid w:val="0065278C"/>
    <w:rsid w:val="006B25B4"/>
    <w:rsid w:val="006C6991"/>
    <w:rsid w:val="00866080"/>
    <w:rsid w:val="00896159"/>
    <w:rsid w:val="00984268"/>
    <w:rsid w:val="00B2634F"/>
    <w:rsid w:val="00B373BE"/>
    <w:rsid w:val="00BB39D0"/>
    <w:rsid w:val="00BB4EB4"/>
    <w:rsid w:val="00BE745C"/>
    <w:rsid w:val="00C73485"/>
    <w:rsid w:val="00CC29EC"/>
    <w:rsid w:val="00D723E7"/>
    <w:rsid w:val="00DB6A9E"/>
    <w:rsid w:val="00E0665C"/>
    <w:rsid w:val="00E40052"/>
    <w:rsid w:val="00E61852"/>
    <w:rsid w:val="00F2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1B7E"/>
  <w15:chartTrackingRefBased/>
  <w15:docId w15:val="{1B794FFD-4515-4949-AE55-A30C41EA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34F"/>
    <w:pPr>
      <w:ind w:left="720"/>
      <w:contextualSpacing/>
    </w:pPr>
  </w:style>
  <w:style w:type="paragraph" w:customStyle="1" w:styleId="Default">
    <w:name w:val="Default"/>
    <w:rsid w:val="006B25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Nunn</dc:creator>
  <cp:keywords/>
  <dc:description/>
  <cp:lastModifiedBy>Michael Nunn</cp:lastModifiedBy>
  <cp:revision>2</cp:revision>
  <dcterms:created xsi:type="dcterms:W3CDTF">2021-10-18T12:57:00Z</dcterms:created>
  <dcterms:modified xsi:type="dcterms:W3CDTF">2021-10-18T12:57:00Z</dcterms:modified>
</cp:coreProperties>
</file>